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/>
        <w:jc w:val="center"/>
      </w:pPr>
      <w:r>
        <w:drawing>
          <wp:inline xmlns:a="http://schemas.openxmlformats.org/drawingml/2006/main" xmlns:pic="http://schemas.openxmlformats.org/drawingml/2006/picture">
            <wp:extent cx="1508760" cy="1005840"/>
            <wp:docPr id="1" name="Picture 1" descr="Logotipo editorial da Corner Italiano" title="Corner Italian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ner-italiano-logo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005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20" w:after="16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CORNER ITALIANO  |  RECURSOS OFICIAIS</w:t>
      </w:r>
    </w:p>
    <w:p>
      <w:pPr>
        <w:pStyle w:val="Title"/>
        <w:jc w:val="center"/>
      </w:pPr>
      <w:r>
        <w:rPr>
          <w:rFonts w:ascii="DejaVu Sans" w:hAnsi="DejaVu Sans" w:eastAsia="DejaVu Sans"/>
          <w:b/>
          <w:color w:val="123044"/>
          <w:sz w:val="56"/>
        </w:rPr>
        <w:t>Mapa temático</w:t>
      </w:r>
    </w:p>
    <w:p>
      <w:pPr>
        <w:pStyle w:val="Subtitle"/>
        <w:jc w:val="center"/>
      </w:pPr>
      <w:r>
        <w:rPr>
          <w:rFonts w:ascii="DejaVu Sans" w:hAnsi="DejaVu Sans" w:eastAsia="DejaVu Sans"/>
          <w:color w:val="5D6870"/>
          <w:sz w:val="25"/>
        </w:rPr>
        <w:t>Onde encontrar as perguntas centrais do livro</w:t>
      </w:r>
    </w:p>
    <w:p>
      <w:pPr>
        <w:spacing w:before="44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ÍNDICE TEMÁTICO DE LEITURA</w:t>
      </w:r>
    </w:p>
    <w:p>
      <w:pPr>
        <w:jc w:val="center"/>
      </w:pPr>
      <w:r>
        <w:rPr>
          <w:rFonts w:ascii="DejaVu Sans" w:hAnsi="DejaVu Sans" w:eastAsia="DejaVu Sans"/>
          <w:color w:val="234C61"/>
          <w:sz w:val="19"/>
        </w:rPr>
        <w:t>Versão arquivada da edição brasileira - julho de 2026 - Formato A4</w:t>
      </w:r>
    </w:p>
    <w:p>
      <w:pPr>
        <w:spacing w:before="360"/>
        <w:jc w:val="center"/>
      </w:pPr>
      <w:hyperlink r:id="rId13">
        <w:r>
          <w:rPr>
            <w:rFonts w:ascii="DejaVu Sans" w:hAnsi="DejaVu Sans" w:eastAsia="DejaVu Sans"/>
            <w:color w:val="234C61"/>
            <w:u w:val="single"/>
            <w:sz w:val="18"/>
          </w:rPr>
          <w:t>https://www.corneritaliano.com/pt/2050/recursos/</w:t>
        </w:r>
      </w:hyperlink>
    </w:p>
    <w:p>
      <w:r>
        <w:br w:type="page"/>
      </w:r>
    </w:p>
    <w:tbl>
      <w:tblPr>
        <w:tblW w:type="dxa" w:w="9890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9890"/>
      </w:tblGrid>
      <w:tr>
        <w:trPr>
          <w:cantSplit/>
        </w:trPr>
        <w:tc>
          <w:tcPr>
            <w:tcW w:type="dxa" w:w="9890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ORIENTAÇÃO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O livro retorna às mesmas perguntas em escalas diferentes. Este mapa mostra onde cada tema é desenvolvido e utiliza títulos estáveis para que as referências continuem válidas quando a paginação mudar.</w:t>
            </w:r>
          </w:p>
        </w:tc>
      </w:tr>
    </w:tbl>
    <w:p>
      <w:pPr>
        <w:spacing w:after="0"/>
      </w:pP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Esperança adulta e limites da delegação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Onde aparece no livro: </w:t>
      </w:r>
      <w:r>
        <w:rPr>
          <w:rFonts w:ascii="DejaVu Sans" w:hAnsi="DejaVu Sans" w:eastAsia="DejaVu Sans"/>
          <w:i/>
          <w:color w:val="5D6870"/>
          <w:sz w:val="17"/>
        </w:rPr>
        <w:t>Introdução; Capítulo 16; Epílogo, 'O que não delegamos'.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Estudar a tecnologia, usá-la quando melhora a vida e preservar espaços em que uma escolha humana ainda possa limitá-la, recusá-la ou corrigi-la.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Capacidade, confiabilidade e autoridade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Onde aparece no livro: </w:t>
      </w:r>
      <w:r>
        <w:rPr>
          <w:rFonts w:ascii="DejaVu Sans" w:hAnsi="DejaVu Sans" w:eastAsia="DejaVu Sans"/>
          <w:i/>
          <w:color w:val="5D6870"/>
          <w:sz w:val="17"/>
        </w:rPr>
        <w:t>Introdução; Interlúdio I; Capítulos 1, 4, 7, 8, 12 e 16; Ferramentas para o leitor, 'Mapa dos três vocabulários'.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Ser capaz de fazer algo, realizá-lo em condições reais e estar autorizado a agir são propriedades distintas.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O Teste 2050 e os três vocabulários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Onde aparece no livro: </w:t>
      </w:r>
      <w:r>
        <w:rPr>
          <w:rFonts w:ascii="DejaVu Sans" w:hAnsi="DejaVu Sans" w:eastAsia="DejaVu Sans"/>
          <w:i/>
          <w:color w:val="5D6870"/>
          <w:sz w:val="17"/>
        </w:rPr>
        <w:t>Interlúdio I; Capítulo 7; Interlúdio II; Capítulo 16; Ferramentas para o leitor.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As sete perguntas, o estado da evidência e a decisão organizacional permanecem separados e não produzem uma média compensatória.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Identidade, minimização da prova e portabilidade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Onde aparece no livro: </w:t>
      </w:r>
      <w:r>
        <w:rPr>
          <w:rFonts w:ascii="DejaVu Sans" w:hAnsi="DejaVu Sans" w:eastAsia="DejaVu Sans"/>
          <w:i/>
          <w:color w:val="5D6870"/>
          <w:sz w:val="17"/>
        </w:rPr>
        <w:t>Capítulos 2 e 3; Capítulo 16; Ferramentas para o leitor, 'Ficha preenchível do Teste 2050'.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Demonstrar apenas o necessário sem entregar a pessoa nem transferir a ela todo o risco de recuperação e saída.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Infraestrutura, continuidade e teste de saída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Onde aparece no livro: </w:t>
      </w:r>
      <w:r>
        <w:rPr>
          <w:rFonts w:ascii="DejaVu Sans" w:hAnsi="DejaVu Sans" w:eastAsia="DejaVu Sans"/>
          <w:i/>
          <w:color w:val="5D6870"/>
          <w:sz w:val="17"/>
        </w:rPr>
        <w:t>Capítulos 3 e 14; Capítulo 16, 'Sair sem abandonar'; Ferramentas para o leitor.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Serviços em nuvem, redes, APIs, contratos e competência residual se tornam governáveis quando a continuidade reduzida e a substituição são testadas.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Trabalho, competência e formação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Onde aparece no livro: </w:t>
      </w:r>
      <w:r>
        <w:rPr>
          <w:rFonts w:ascii="DejaVu Sans" w:hAnsi="DejaVu Sans" w:eastAsia="DejaVu Sans"/>
          <w:i/>
          <w:color w:val="5D6870"/>
          <w:sz w:val="17"/>
        </w:rPr>
        <w:t>Capítulos 4, 6 e 7; referências nos Capítulos 10 e 16.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A automação comprime tarefas, mas o juízo continua praticável apenas quando aprendizagem, tempo e autoridade fazem parte do trabalho.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Mandato, Recurso e supervisão efetiva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Onde aparece no livro: </w:t>
      </w:r>
      <w:r>
        <w:rPr>
          <w:rFonts w:ascii="DejaVu Sans" w:hAnsi="DejaVu Sans" w:eastAsia="DejaVu Sans"/>
          <w:i/>
          <w:color w:val="5D6870"/>
          <w:sz w:val="17"/>
        </w:rPr>
        <w:t>Capítulos 4, 5, 7, 8, 12 e 16; Interlúdios I e II.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Uma pessoa importa dentro do processo quando dispõe de evidência, tempo e poder para suspender, corrigir e obter um resultado fundamentado.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Cuidado, incerteza e dignidade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Onde aparece no livro: </w:t>
      </w:r>
      <w:r>
        <w:rPr>
          <w:rFonts w:ascii="DejaVu Sans" w:hAnsi="DejaVu Sans" w:eastAsia="DejaVu Sans"/>
          <w:i/>
          <w:color w:val="5D6870"/>
          <w:sz w:val="17"/>
        </w:rPr>
        <w:t>Capítulos 8, 11 e 15.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Erro técnico, incerteza clínica, conflito de valores, presença e despedida exigem respostas diferentes.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Verdade pública, proveniência e fadiga epistêmica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Onde aparece no livro: </w:t>
      </w:r>
      <w:r>
        <w:rPr>
          <w:rFonts w:ascii="DejaVu Sans" w:hAnsi="DejaVu Sans" w:eastAsia="DejaVu Sans"/>
          <w:i/>
          <w:color w:val="5D6870"/>
          <w:sz w:val="17"/>
        </w:rPr>
        <w:t>Capítulo 9; referências no Capítulo 10 e nas Ferramentas para o leitor.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Reconstruir a origem e as transformações ajuda a verificar, mas a confiança pública também depende do custo humano e institucional de contestar uma afirmação.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Autoria, assinatura e nova escassez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Onde aparece no livro: </w:t>
      </w:r>
      <w:r>
        <w:rPr>
          <w:rFonts w:ascii="DejaVu Sans" w:hAnsi="DejaVu Sans" w:eastAsia="DejaVu Sans"/>
          <w:i/>
          <w:color w:val="5D6870"/>
          <w:sz w:val="17"/>
        </w:rPr>
        <w:t>Capítulo 10; referências no Capítulo 9.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Proveniência, declaração das ferramentas e assinatura distribuem história, transparência e responsabilidade sem atribuir automaticamente valor a uma obra.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Apego, menores e assimetria relacional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Onde aparece no livro: </w:t>
      </w:r>
      <w:r>
        <w:rPr>
          <w:rFonts w:ascii="DejaVu Sans" w:hAnsi="DejaVu Sans" w:eastAsia="DejaVu Sans"/>
          <w:i/>
          <w:color w:val="5D6870"/>
          <w:sz w:val="17"/>
        </w:rPr>
        <w:t>Capítulo 11; referências nos Capítulos 15 e 16.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O consolo pode se tornar ponte ou jaula conforme a memória, os incentivos, a liberdade de interromper e a abertura a outras relações.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Privacidade, criação de perfis e intervalos não mensurados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Onde aparece no livro: </w:t>
      </w:r>
      <w:r>
        <w:rPr>
          <w:rFonts w:ascii="DejaVu Sans" w:hAnsi="DejaVu Sans" w:eastAsia="DejaVu Sans"/>
          <w:i/>
          <w:color w:val="5D6870"/>
          <w:sz w:val="17"/>
        </w:rPr>
        <w:t>Capítulos 5 e 12; referências no Capítulo 11.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Proteger não autoriza automaticamente a mandar, e uma pessoa deve poder mudar sem produzir imediatamente um perfil operacional.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Custo do controle, dano residual e capacidade organizacional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Onde aparece no livro: </w:t>
      </w:r>
      <w:r>
        <w:rPr>
          <w:rFonts w:ascii="DejaVu Sans" w:hAnsi="DejaVu Sans" w:eastAsia="DejaVu Sans"/>
          <w:i/>
          <w:color w:val="5D6870"/>
          <w:sz w:val="17"/>
        </w:rPr>
        <w:t>Capítulos 7, 8 e 14; Interlúdio II, 'O custo do controle' e 'O dano que permanece'; Ferramentas para o leitor.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A verificação consome tempo e competência e não promete risco zero: deve permitir reconstruir, reparar e restringir.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Sustentabilidade material e justiça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Onde aparece no livro: </w:t>
      </w:r>
      <w:r>
        <w:rPr>
          <w:rFonts w:ascii="DejaVu Sans" w:hAnsi="DejaVu Sans" w:eastAsia="DejaVu Sans"/>
          <w:i/>
          <w:color w:val="5D6870"/>
          <w:sz w:val="17"/>
        </w:rPr>
        <w:t>Capítulos 3 e 13; dimensão geopolítica no Capítulo 14.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Energia, água, minerais, equipamentos, trabalho e resíduos formam uma cadeia de decisões, não um custo abstrato.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Dependência estratégica, manutenção e voz infraestrutural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Onde aparece no livro: </w:t>
      </w:r>
      <w:r>
        <w:rPr>
          <w:rFonts w:ascii="DejaVu Sans" w:hAnsi="DejaVu Sans" w:eastAsia="DejaVu Sans"/>
          <w:i/>
          <w:color w:val="5D6870"/>
          <w:sz w:val="17"/>
        </w:rPr>
        <w:t>Capítulos 3 e 14, especialmente 'A manutenção decide quem conserva a voz'.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A autonomia relativa nasce de alternativas, competência local, padrões e poderes concretos para suspender, corrigir e exportar.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Desigualdade e acesso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Onde aparece no livro: </w:t>
      </w:r>
      <w:r>
        <w:rPr>
          <w:rFonts w:ascii="DejaVu Sans" w:hAnsi="DejaVu Sans" w:eastAsia="DejaVu Sans"/>
          <w:i/>
          <w:color w:val="5D6870"/>
          <w:sz w:val="17"/>
        </w:rPr>
        <w:t>Capítulos 4, 5, 6, 8, 12, 13 e 14.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Benefícios, esperas, proteções e custos mudam com renda, território, capacidade administrativa e acesso a um Recurso.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Memória, arquivo, simulação e esquecimento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Onde aparece no livro: </w:t>
      </w:r>
      <w:r>
        <w:rPr>
          <w:rFonts w:ascii="DejaVu Sans" w:hAnsi="DejaVu Sans" w:eastAsia="DejaVu Sans"/>
          <w:i/>
          <w:color w:val="5D6870"/>
          <w:sz w:val="17"/>
        </w:rPr>
        <w:t>Capítulo 15; antecipações nos Capítulos 11 e 12; Epílogo.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Conservar rastros, organizar um memorial e gerar novas palavras são atos diferentes, com Mandatos e direitos distintos.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Ciclo de vida, monitoramento e saída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Onde aparece no livro: </w:t>
      </w:r>
      <w:r>
        <w:rPr>
          <w:rFonts w:ascii="DejaVu Sans" w:hAnsi="DejaVu Sans" w:eastAsia="DejaVu Sans"/>
          <w:i/>
          <w:color w:val="5D6870"/>
          <w:sz w:val="17"/>
        </w:rPr>
        <w:t>Capítulos 7 e 16; Ferramentas para o leitor, 'Do Teste à decisão'.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Ficha, registro, incidente, Recurso, teste de saída e reexame mantêm o Mandato observável quando mudam modelo, dados, escala ou responsáveis.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Não delegar, custo do não e reabertura</w:t>
      </w:r>
    </w:p>
    <w:p>
      <w:pPr>
        <w:keepNext/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Onde aparece no livro: </w:t>
      </w:r>
      <w:r>
        <w:rPr>
          <w:rFonts w:ascii="DejaVu Sans" w:hAnsi="DejaVu Sans" w:eastAsia="DejaVu Sans"/>
          <w:i/>
          <w:color w:val="5D6870"/>
          <w:sz w:val="17"/>
        </w:rPr>
        <w:t>Capítulo 16, 'Quando a resposta é não adotar' e 'O custo do não e a reabertura'; Epílogo; Ferramentas para o leitor, caso Davide.</w:t>
      </w:r>
    </w:p>
    <w:p>
      <w:pPr>
        <w:keepLines/>
        <w:spacing w:after="100"/>
      </w:pPr>
      <w:r>
        <w:rPr>
          <w:rFonts w:ascii="DejaVu Sans" w:hAnsi="DejaVu Sans" w:eastAsia="DejaVu Sans"/>
          <w:color w:val="1E2528"/>
          <w:sz w:val="18"/>
        </w:rPr>
        <w:t>A recusa registra proteções e custos, preserva uma alternativa e permite um novo teste sem apagar o primeiro juízo.</w:t>
      </w:r>
    </w:p>
    <w:sectPr w:rsidR="00FC693F" w:rsidRPr="0006063C" w:rsidSect="00034616">
      <w:headerReference w:type="default" r:id="rId9"/>
      <w:footerReference w:type="default" r:id="rId10"/>
      <w:footerReference w:type="first" r:id="rId11"/>
      <w:headerReference w:type="even" r:id="rId14"/>
      <w:footerReference w:type="even" r:id="rId15"/>
      <w:pgSz w:w="11905" w:h="16838"/>
      <w:pgMar w:top="1008" w:right="1008" w:bottom="1008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749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PT-BR-R1 - A4 - Versão arquivada da edição brasileira - julho de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color w:val="5D6870"/>
        <w:sz w:val="15"/>
      </w:rPr>
      <w:t>https://www.corneritaliano.com/pt/2050/recursos/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749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PT-BR-R1 - A4 - Versão arquivada da edição brasileira - julho de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RECURSOS OFICIAIS  |  </w:t>
    </w:r>
    <w:r>
      <w:rPr>
        <w:rFonts w:ascii="DejaVu Sans" w:hAnsi="DejaVu Sans" w:eastAsia="DejaVu Sans"/>
        <w:color w:val="5D6870"/>
        <w:sz w:val="15"/>
      </w:rPr>
      <w:t>Mapa temático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RECURSOS OFICIAIS  |  </w:t>
    </w:r>
    <w:r>
      <w:rPr>
        <w:rFonts w:ascii="DejaVu Sans" w:hAnsi="DejaVu Sans" w:eastAsia="DejaVu Sans"/>
        <w:color w:val="5D6870"/>
        <w:sz w:val="15"/>
      </w:rPr>
      <w:t>Mapa temático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83" w:lineRule="auto"/>
    </w:pPr>
    <w:rPr>
      <w:rFonts w:ascii="DejaVu Sans" w:hAnsi="DejaVu Sans"/>
      <w:color w:val="1E25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23044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B54B2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234C6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23044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DejaVu Sans" w:hAnsi="DejaVu Sans"/>
      <w:b w:val="0"/>
      <w:i/>
      <w:iCs/>
      <w:color w:val="5D6870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Relationship Id="rId13" Type="http://schemas.openxmlformats.org/officeDocument/2006/relationships/hyperlink" Target="https://www.corneritaliano.com/pt/2050/recursos/" TargetMode="External"/><Relationship Id="rId14" Type="http://schemas.openxmlformats.org/officeDocument/2006/relationships/header" Target="header2.xml"/><Relationship Id="rId1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Mapa temático</dc:title>
  <dc:subject>Recurso complementar oficial de 2050</dc:subject>
  <dc:creator>Corner Italiano LLC</dc:creator>
  <cp:keywords>2050, inteligência artificial, Teste 2050, recursos</cp:keywords>
  <dc:description>generated by python-docx</dc:description>
  <cp:lastModifiedBy>Corner Italiano LLC</cp:lastModifiedBy>
  <cp:revision>1</cp:revision>
  <dcterms:created xsi:type="dcterms:W3CDTF">2013-12-23T23:15:00Z</dcterms:created>
  <dcterms:modified xsi:type="dcterms:W3CDTF">2013-12-23T23:15:00Z</dcterms:modified>
  <cp:category/>
</cp:coreProperties>
</file>