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a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OFICIAIS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Bibliografia pesquisável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Fontes documentais com códigos estáveis e links ativos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VERSÃO ARQUIVADA DA EDIÇÃO BRASILEIRA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Versão arquivada da edição brasileira - julho de 2026 - Formato A4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CRITÉRIO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Esta coleção reúne as fontes usadas para verificar as afirmações factuais e regulatórias do livro e quatro fontes adicionais de infraestrutura necessárias à cronologia online. Fontes primárias, padrões, atos normativos, propostas, diretrizes, relatórios, artigos, preprints e fontes empresariais permanecem qualificados separadamente.</w:t>
            </w:r>
          </w:p>
        </w:tc>
      </w:tr>
    </w:tbl>
    <w:p>
      <w:pPr>
        <w:spacing w:after="0"/>
      </w:pPr>
    </w:p>
    <w:p>
      <w:pPr>
        <w:pStyle w:val="Heading1"/>
      </w:pPr>
      <w:r>
        <w:t>História da inteligência artificial e das redes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[SRC-TURING-1950] </w:t>
      </w:r>
      <w:r>
        <w:rPr>
          <w:rFonts w:ascii="DejaVu Sans" w:hAnsi="DejaVu Sans" w:eastAsia="DejaVu Sans"/>
          <w:color w:val="1E2528"/>
          <w:sz w:val="17"/>
        </w:rPr>
        <w:t xml:space="preserve">A. M. Turing, Computing Machinery and Intelligence. Oxford University Press / Mind. 1950. Fonte primária. </w:t>
      </w:r>
      <w:hyperlink r:id="rId1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https://doi.org/10.1093/mind/LIX.236.433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[SRC-DARTMOUTH-1955] </w:t>
      </w:r>
      <w:r>
        <w:rPr>
          <w:rFonts w:ascii="DejaVu Sans" w:hAnsi="DejaVu Sans" w:eastAsia="DejaVu Sans"/>
          <w:color w:val="1E2528"/>
          <w:sz w:val="17"/>
        </w:rPr>
        <w:t xml:space="preserve">John McCarthy, Marvin L. Minsky, Nathaniel Rochester, Claude E. Shannon, A Proposal for the Dartmouth Summer Research Project on Artificial Intelligence. Dartmouth College archive. 1955. Fonte primária / arquivo oficial. </w:t>
      </w:r>
      <w:hyperlink r:id="rId15">
        <w:r>
          <w:rPr>
            <w:rFonts w:ascii="DejaVu Sans" w:hAnsi="DejaVu Sans" w:eastAsia="DejaVu Sans"/>
            <w:color w:val="234C61"/>
            <w:u w:val="single"/>
            <w:sz w:val="16"/>
          </w:rPr>
          <w:t>https://jmc.stanford.edu/articles/dartmouth/dartmouth.pdf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[SRC-ROSENBLATT-1958] </w:t>
      </w:r>
      <w:r>
        <w:rPr>
          <w:rFonts w:ascii="DejaVu Sans" w:hAnsi="DejaVu Sans" w:eastAsia="DejaVu Sans"/>
          <w:color w:val="1E2528"/>
          <w:sz w:val="17"/>
        </w:rPr>
        <w:t xml:space="preserve">Frank Rosenblatt, The Perceptron: A Probabilistic Model for Information Storage and Organization in the Brain. Psychological Review. 1958. Fonte primária. </w:t>
      </w:r>
      <w:hyperlink r:id="rId1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https://doi.org/10.1037/h0042519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[SRC-MINSKY-PAPERT-1969] </w:t>
      </w:r>
      <w:r>
        <w:rPr>
          <w:rFonts w:ascii="DejaVu Sans" w:hAnsi="DejaVu Sans" w:eastAsia="DejaVu Sans"/>
          <w:color w:val="1E2528"/>
          <w:sz w:val="17"/>
        </w:rPr>
        <w:t xml:space="preserve">Marvin Minsky e Seymour Papert, Perceptrons: An Introduction to Computational Geometry. MIT Press, 1969; edição ampliada, 1987. Fonte primária; a página da editora remete à edição ampliada. </w:t>
      </w:r>
      <w:hyperlink r:id="rId17">
        <w:r>
          <w:rPr>
            <w:rFonts w:ascii="DejaVu Sans" w:hAnsi="DejaVu Sans" w:eastAsia="DejaVu Sans"/>
            <w:color w:val="234C61"/>
            <w:u w:val="single"/>
            <w:sz w:val="16"/>
          </w:rPr>
          <w:t>https://mitpress.mit.edu/9780262631112/perceptrons/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[SRC-RHW-1986] </w:t>
      </w:r>
      <w:r>
        <w:rPr>
          <w:rFonts w:ascii="DejaVu Sans" w:hAnsi="DejaVu Sans" w:eastAsia="DejaVu Sans"/>
          <w:color w:val="1E2528"/>
          <w:sz w:val="17"/>
        </w:rPr>
        <w:t xml:space="preserve">David E. Rumelhart, Geoffrey E. Hinton, Ronald J. Williams, Learning representations by back-propagating errors. Nature. 1986. Fonte primária. </w:t>
      </w:r>
      <w:hyperlink r:id="rId1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https://doi.org/10.1038/323533a0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[SRC-IBM-DEEPBLUE] </w:t>
      </w:r>
      <w:r>
        <w:rPr>
          <w:rFonts w:ascii="DejaVu Sans" w:hAnsi="DejaVu Sans" w:eastAsia="DejaVu Sans"/>
          <w:color w:val="1E2528"/>
          <w:sz w:val="17"/>
        </w:rPr>
        <w:t xml:space="preserve">IBM, Deep Blue. 1997. Arquivo corporativo oficial. Acesso: 2026. </w:t>
      </w:r>
      <w:hyperlink r:id="rId19">
        <w:r>
          <w:rPr>
            <w:rFonts w:ascii="DejaVu Sans" w:hAnsi="DejaVu Sans" w:eastAsia="DejaVu Sans"/>
            <w:color w:val="234C61"/>
            <w:u w:val="single"/>
            <w:sz w:val="16"/>
          </w:rPr>
          <w:t>https://www.ibm.com/history/deep-blue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[SRC-ALEXNET-2012] </w:t>
      </w:r>
      <w:r>
        <w:rPr>
          <w:rFonts w:ascii="DejaVu Sans" w:hAnsi="DejaVu Sans" w:eastAsia="DejaVu Sans"/>
          <w:color w:val="1E2528"/>
          <w:sz w:val="17"/>
        </w:rPr>
        <w:t xml:space="preserve">Alex Krizhevsky, Ilya Sutskever, Geoffrey E. Hinton, ImageNet Classification with Deep Convolutional Neural Networks. NeurIPS. 2012. Fonte primária. </w:t>
      </w:r>
      <w:hyperlink r:id="rId20">
        <w:r>
          <w:rPr>
            <w:rFonts w:ascii="DejaVu Sans" w:hAnsi="DejaVu Sans" w:eastAsia="DejaVu Sans"/>
            <w:color w:val="234C61"/>
            <w:u w:val="single"/>
            <w:sz w:val="16"/>
          </w:rPr>
          <w:t>https://papers.nips.cc/paper/4824-imagenet-classification-with-deep-convolutional-neural-networks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[SRC-TRANSFORMER-2017] </w:t>
      </w:r>
      <w:r>
        <w:rPr>
          <w:rFonts w:ascii="DejaVu Sans" w:hAnsi="DejaVu Sans" w:eastAsia="DejaVu Sans"/>
          <w:color w:val="1E2528"/>
          <w:sz w:val="17"/>
        </w:rPr>
        <w:t xml:space="preserve">Ashish Vaswani et al., Attention Is All You Need. NeurIPS / arXiv. 2017. Fonte primária. </w:t>
      </w:r>
      <w:hyperlink r:id="rId21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https://arxiv.org/abs/1706.03762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[SRC-ELIZA-1966] </w:t>
      </w:r>
      <w:r>
        <w:rPr>
          <w:rFonts w:ascii="DejaVu Sans" w:hAnsi="DejaVu Sans" w:eastAsia="DejaVu Sans"/>
          <w:color w:val="1E2528"/>
          <w:sz w:val="17"/>
        </w:rPr>
        <w:t xml:space="preserve">Joseph Weizenbaum, ELIZA - A Computer Program for the Study of Natural Language Communication Between Man and Machine. Communications of the ACM. 1966. Fonte primária. </w:t>
      </w:r>
      <w:hyperlink r:id="rId2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https://doi.org/10.1145/365153.365168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[SRC-OPENAI-CHATGPT] </w:t>
      </w:r>
      <w:r>
        <w:rPr>
          <w:rFonts w:ascii="DejaVu Sans" w:hAnsi="DejaVu Sans" w:eastAsia="DejaVu Sans"/>
          <w:color w:val="1E2528"/>
          <w:sz w:val="17"/>
        </w:rPr>
        <w:t xml:space="preserve">OpenAI, Introducing ChatGPT. 2022-11-30. Anúncio oficial da empresa. </w:t>
      </w:r>
      <w:hyperlink r:id="rId23">
        <w:r>
          <w:rPr>
            <w:rFonts w:ascii="DejaVu Sans" w:hAnsi="DejaVu Sans" w:eastAsia="DejaVu Sans"/>
            <w:color w:val="234C61"/>
            <w:u w:val="single"/>
            <w:sz w:val="16"/>
          </w:rPr>
          <w:t>https://openai.com/index/chatgpt/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[SRC-DARPA-ARPANET-1969] </w:t>
      </w:r>
      <w:r>
        <w:rPr>
          <w:rFonts w:ascii="DejaVu Sans" w:hAnsi="DejaVu Sans" w:eastAsia="DejaVu Sans"/>
          <w:color w:val="1E2528"/>
          <w:sz w:val="17"/>
        </w:rPr>
        <w:t xml:space="preserve">DARPA, ARPANET. 1969. Arquivo institucional oficial. Acesso: 2026. </w:t>
      </w:r>
      <w:hyperlink r:id="rId24">
        <w:r>
          <w:rPr>
            <w:rFonts w:ascii="DejaVu Sans" w:hAnsi="DejaVu Sans" w:eastAsia="DejaVu Sans"/>
            <w:color w:val="234C61"/>
            <w:u w:val="single"/>
            <w:sz w:val="16"/>
          </w:rPr>
          <w:t>https://www.darpa.mil/news/features/arpanet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[SRC-ISOC-TCPIP-1983] </w:t>
      </w:r>
      <w:r>
        <w:rPr>
          <w:rFonts w:ascii="DejaVu Sans" w:hAnsi="DejaVu Sans" w:eastAsia="DejaVu Sans"/>
          <w:color w:val="1E2528"/>
          <w:sz w:val="17"/>
        </w:rPr>
        <w:t xml:space="preserve">Internet Society, New Year's Day Marks 30th Anniversary of Major Milestone for Global Internet. 2013-01-01. Documentação institucional. </w:t>
      </w:r>
      <w:hyperlink r:id="rId25">
        <w:r>
          <w:rPr>
            <w:rFonts w:ascii="DejaVu Sans" w:hAnsi="DejaVu Sans" w:eastAsia="DejaVu Sans"/>
            <w:color w:val="234C61"/>
            <w:u w:val="single"/>
            <w:sz w:val="16"/>
          </w:rPr>
          <w:t>https://www.internetsociety.org/news/press-releases/2013/new-years-day-marks-30th-anniversary-of-major-milestone-for-global-internet/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[SRC-CERN-WEB-HISTORY] </w:t>
      </w:r>
      <w:r>
        <w:rPr>
          <w:rFonts w:ascii="DejaVu Sans" w:hAnsi="DejaVu Sans" w:eastAsia="DejaVu Sans"/>
          <w:color w:val="1E2528"/>
          <w:sz w:val="17"/>
        </w:rPr>
        <w:t xml:space="preserve">CERN, A short history of the Web. Arquivo institucional oficial. Acesso: 2026. </w:t>
      </w:r>
      <w:hyperlink r:id="rId26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https://home.cern/science/computing/the-birth-of-the-web/short-history-web/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[SRC-CERN-WEB-1991] </w:t>
      </w:r>
      <w:r>
        <w:rPr>
          <w:rFonts w:ascii="DejaVu Sans" w:hAnsi="DejaVu Sans" w:eastAsia="DejaVu Sans"/>
          <w:color w:val="1E2528"/>
          <w:sz w:val="17"/>
        </w:rPr>
        <w:t xml:space="preserve">CERN, The open internet and the web. 2013-04-30. Documentação oficial. </w:t>
      </w:r>
      <w:hyperlink r:id="rId27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https://home.cern/open-internet-and-web/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Identidade digital, credenciais e padrões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[SRC-W3C-VC20] </w:t>
      </w:r>
      <w:r>
        <w:rPr>
          <w:rFonts w:ascii="DejaVu Sans" w:hAnsi="DejaVu Sans" w:eastAsia="DejaVu Sans"/>
          <w:color w:val="1E2528"/>
          <w:sz w:val="17"/>
        </w:rPr>
        <w:t xml:space="preserve">W3C Verifiable Credentials Working Group, Verifiable Credentials Data Model v2.0. 2025-05-15. W3C Recommendation. </w:t>
      </w:r>
      <w:hyperlink r:id="rId28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https://www.w3.org/TR/vc-data-model-2.0/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[SRC-W3C-DI] </w:t>
      </w:r>
      <w:r>
        <w:rPr>
          <w:rFonts w:ascii="DejaVu Sans" w:hAnsi="DejaVu Sans" w:eastAsia="DejaVu Sans"/>
          <w:color w:val="1E2528"/>
          <w:sz w:val="17"/>
        </w:rPr>
        <w:t xml:space="preserve">W3C Verifiable Credentials Working Group, Verifiable Credential Data Integrity 1.0. 2025-05-15. W3C Recommendation. </w:t>
      </w:r>
      <w:hyperlink r:id="rId29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https://www.w3.org/TR/vc-data-integrity/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[SRC-W3C-JOSE] </w:t>
      </w:r>
      <w:r>
        <w:rPr>
          <w:rFonts w:ascii="DejaVu Sans" w:hAnsi="DejaVu Sans" w:eastAsia="DejaVu Sans"/>
          <w:color w:val="1E2528"/>
          <w:sz w:val="17"/>
        </w:rPr>
        <w:t xml:space="preserve">W3C Verifiable Credentials Working Group, Securing Verifiable Credentials using JOSE and COSE. 2025-05-15. W3C Recommendation. </w:t>
      </w:r>
      <w:hyperlink r:id="rId30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https://www.w3.org/TR/vc-jose-cose/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[SRC-OID4VCI] </w:t>
      </w:r>
      <w:r>
        <w:rPr>
          <w:rFonts w:ascii="DejaVu Sans" w:hAnsi="DejaVu Sans" w:eastAsia="DejaVu Sans"/>
          <w:color w:val="1E2528"/>
          <w:sz w:val="17"/>
        </w:rPr>
        <w:t xml:space="preserve">OpenID Foundation, OpenID for Verifiable Credential Issuance 1.0. 2025-09-16. Final Specification. </w:t>
      </w:r>
      <w:hyperlink r:id="rId31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https://openid.net/specs/openid-4-verifiable-credential-issuance-1_0.html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[SRC-OID4VP] </w:t>
      </w:r>
      <w:r>
        <w:rPr>
          <w:rFonts w:ascii="DejaVu Sans" w:hAnsi="DejaVu Sans" w:eastAsia="DejaVu Sans"/>
          <w:color w:val="1E2528"/>
          <w:sz w:val="17"/>
        </w:rPr>
        <w:t xml:space="preserve">OpenID Foundation, OpenID for Verifiable Presentations 1.0. 2025-07-09. Final Specification. </w:t>
      </w:r>
      <w:hyperlink r:id="rId32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https://openid.net/specs/openid-4-verifiable-presentations-1_0.html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[SRC-NIST-ID4] </w:t>
      </w:r>
      <w:r>
        <w:rPr>
          <w:rFonts w:ascii="DejaVu Sans" w:hAnsi="DejaVu Sans" w:eastAsia="DejaVu Sans"/>
          <w:color w:val="1E2528"/>
          <w:sz w:val="17"/>
        </w:rPr>
        <w:t xml:space="preserve">National Institute of Standards and Technology, Digital Identity Guidelines, NIST SP 800-63-4. 2025-07-31. Padrão técnico final. </w:t>
      </w:r>
      <w:hyperlink r:id="rId33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https://doi.org/10.6028/NIST.SP.800-63-4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[SRC-NIST-8202] </w:t>
      </w:r>
      <w:r>
        <w:rPr>
          <w:rFonts w:ascii="DejaVu Sans" w:hAnsi="DejaVu Sans" w:eastAsia="DejaVu Sans"/>
          <w:color w:val="1E2528"/>
          <w:sz w:val="17"/>
        </w:rPr>
        <w:t xml:space="preserve">Dylan Yaga et al., Blockchain Technology Overview, NISTIR 8202. 2018-10-03. Relatório técnico oficial. </w:t>
      </w:r>
      <w:hyperlink r:id="rId3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https://doi.org/10.6028/NIST.IR.8202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Saúde, sociedade, educação, trabalho e desenvolvimento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[SRC-WHO-AI-HEALTH21]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Ethics and governance of artificial intelligence for health. 2021-06-28. Diretrizes institucionais. </w:t>
      </w:r>
      <w:hyperlink r:id="rId35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https://www.who.int/publications/i/item/9789240029200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[SRC-WHO-AI-REG23]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Regulatory considerations on artificial intelligence for health. 2023-10-19. Quadro institucional de considerações regulatórias, não um regulamento. </w:t>
      </w:r>
      <w:hyperlink r:id="rId36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https://www.who.int/publications/i/item/9789240078871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[SRC-WHO-LMM24-25]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Ethics and governance of artificial intelligence for health: Guidance on large multi-modal models. Edição e citação bibliográfica da WHO: 2024; página institucional atual datada de 2025-03-25. </w:t>
      </w:r>
      <w:hyperlink r:id="rId37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https://www.who.int/publications/i/item/9789240084759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38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https://www.who.int/publications/b/70584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[SRC-WHO-AI-EU26] </w:t>
      </w:r>
      <w:r>
        <w:rPr>
          <w:rFonts w:ascii="DejaVu Sans" w:hAnsi="DejaVu Sans" w:eastAsia="DejaVu Sans"/>
          <w:color w:val="1E2528"/>
          <w:sz w:val="17"/>
        </w:rPr>
        <w:t xml:space="preserve">WHO Regional Office for Europe, Artificial intelligence is reshaping health systems: state of readiness across the European Union. 2026-04-20. Relatório institucional sobre a preparação dos sistemas de saúde nos 27 Estados-Membros da UE; não constitui evidência clínica de eficácia. WHO/EURO:2026-12707-52481-81471. </w:t>
      </w:r>
      <w:hyperlink r:id="rId39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https://www.who.int/europe/publications/i/item/WHO-EURO-2026-12707-52481-81471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[SRC-WHO-AI-POLICY26]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Artificial intelligence and evidence-informed policy: emerging challenges and opportunities: discussion paper. 2026-04-25. Documento técnico institucional; requer supervisão, avaliações de impacto e julgamento humano. </w:t>
      </w:r>
      <w:hyperlink r:id="rId40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https://www.who.int/publications/i/item/B09667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[SRC-MDCG-MDSW25] </w:t>
      </w:r>
      <w:r>
        <w:rPr>
          <w:rFonts w:ascii="DejaVu Sans" w:hAnsi="DejaVu Sans" w:eastAsia="DejaVu Sans"/>
          <w:color w:val="1E2528"/>
          <w:sz w:val="17"/>
        </w:rPr>
        <w:t xml:space="preserve">Medical Device Coordination Group, MDCG 2019-11 rev.1, Guidance on Qualification and Classification of Software in Regulation (EU) 2017/745 - MDR and Regulation (EU) 2017/746 - IVDR. 2025-06-17. Guia oficial da Comissão Europeia, não um ato legislativo. </w:t>
      </w:r>
      <w:hyperlink r:id="rId41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https://health.ec.europa.eu/document/download/b45335c5-1679-4c71-a91c-fc7a4d37f12b_en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[SRC-MDCG-AIA25] </w:t>
      </w:r>
      <w:r>
        <w:rPr>
          <w:rFonts w:ascii="DejaVu Sans" w:hAnsi="DejaVu Sans" w:eastAsia="DejaVu Sans"/>
          <w:color w:val="1E2528"/>
          <w:sz w:val="17"/>
        </w:rPr>
        <w:t xml:space="preserve">Artificial Intelligence Board / Medical Device Coordination Group, AIB 2025-1 - MDCG 2025-6, Interplay between the Medical Devices Regulation, the In Vitro Diagnostic Medical Devices Regulation and the Artificial Intelligence Act. 2025. Guia conjunto oficial, não um ato legislativo. </w:t>
      </w:r>
      <w:hyperlink r:id="rId42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https://health.ec.europa.eu/document/download/b78a17d7-e3cd-4943-851d-e02a2f22bbb4_en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[SRC-WHO-ADOLESCENT25]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Mental health of adolescents. Atualizado em 2025-09-01. Ficha institucional. </w:t>
      </w:r>
      <w:hyperlink r:id="rId43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https://www.who.int/news-room/fact-sheets/detail/adolescent-mental-health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[SRC-WHO-CONNECTION25] </w:t>
      </w:r>
      <w:r>
        <w:rPr>
          <w:rFonts w:ascii="DejaVu Sans" w:hAnsi="DejaVu Sans" w:eastAsia="DejaVu Sans"/>
          <w:color w:val="1E2528"/>
          <w:sz w:val="17"/>
        </w:rPr>
        <w:t xml:space="preserve">World Health Organization, From loneliness to social connection: charting a path to healthier societies - Report of the WHO Commission on Social Connection. 2025-06-30. Relatório institucional. </w:t>
      </w:r>
      <w:hyperlink r:id="rId44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https://www.who.int/groups/commission-on-social-connection/report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[SRC-UNICEF-AI-CHILD25] </w:t>
      </w:r>
      <w:r>
        <w:rPr>
          <w:rFonts w:ascii="DejaVu Sans" w:hAnsi="DejaVu Sans" w:eastAsia="DejaVu Sans"/>
          <w:color w:val="1E2528"/>
          <w:sz w:val="17"/>
        </w:rPr>
        <w:t xml:space="preserve">UNICEF Innocenti, Guidance on AI and Children, Version 3.0. 2025-12. Guia institucional fundamentado nos direitos da criança. </w:t>
      </w:r>
      <w:hyperlink r:id="rId45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https://www.unicef.org/innocenti/reports/policy-guidance-ai-children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[SRC-UNICEF-COMPANIONS26] </w:t>
      </w:r>
      <w:r>
        <w:rPr>
          <w:rFonts w:ascii="DejaVu Sans" w:hAnsi="DejaVu Sans" w:eastAsia="DejaVu Sans"/>
          <w:color w:val="1E2528"/>
          <w:sz w:val="17"/>
        </w:rPr>
        <w:t xml:space="preserve">UNICEF, When AI becomes a friend: Child rights risks, harms, and regulatory responses to AI chatbots and companions. 2026-06. Policy brief; levantamento regulatório atualizado até 2026-05-15; não constitui evidência clínica. </w:t>
      </w:r>
      <w:hyperlink r:id="rId46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https://www.unicef.org/documents/when-ai-becomes-friend-child-rights-risks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[SRC-FTC-COMPANIONS25] </w:t>
      </w:r>
      <w:r>
        <w:rPr>
          <w:rFonts w:ascii="DejaVu Sans" w:hAnsi="DejaVu Sans" w:eastAsia="DejaVu Sans"/>
          <w:color w:val="1E2528"/>
          <w:sz w:val="17"/>
        </w:rPr>
        <w:t xml:space="preserve">U.S. Federal Trade Commission, FTC Launches Inquiry into AI Chatbots Acting as Companions. 2025-09-11. Ato de investigação regulatória, não um resultado clínico. </w:t>
      </w:r>
      <w:hyperlink r:id="rId47">
        <w:r>
          <w:rPr>
            <w:rFonts w:ascii="DejaVu Sans" w:hAnsi="DejaVu Sans" w:eastAsia="DejaVu Sans"/>
            <w:color w:val="234C61"/>
            <w:u w:val="single"/>
            <w:sz w:val="16"/>
          </w:rPr>
          <w:t>https://www.ftc.gov/news-events/news/press-releases/2025/09/ftc-launches-inquiry-ai-chatbots-acting-companions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[SRC-UNESCO-GENAI-ED23] </w:t>
      </w:r>
      <w:r>
        <w:rPr>
          <w:rFonts w:ascii="DejaVu Sans" w:hAnsi="DejaVu Sans" w:eastAsia="DejaVu Sans"/>
          <w:color w:val="1E2528"/>
          <w:sz w:val="17"/>
        </w:rPr>
        <w:t xml:space="preserve">UNESCO, Guidance for generative AI in education and research. 2023-09-07, página atualizada em 2026-01-16. Guia institucional. </w:t>
      </w:r>
      <w:hyperlink r:id="rId48">
        <w:r>
          <w:rPr>
            <w:rFonts w:ascii="DejaVu Sans" w:hAnsi="DejaVu Sans" w:eastAsia="DejaVu Sans"/>
            <w:color w:val="234C61"/>
            <w:u w:val="single"/>
            <w:sz w:val="16"/>
          </w:rPr>
          <w:t>https://www.unesco.org/en/articles/guidance-generative-ai-education-and-research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[SRC-ILO-GENAI-JOBS25] </w:t>
      </w:r>
      <w:r>
        <w:rPr>
          <w:rFonts w:ascii="DejaVu Sans" w:hAnsi="DejaVu Sans" w:eastAsia="DejaVu Sans"/>
          <w:color w:val="1E2528"/>
          <w:sz w:val="17"/>
        </w:rPr>
        <w:t xml:space="preserve">Paweł Gmyrek et al., Generative AI and Jobs: A Refined Global Index of Occupational Exposure. ILO Working Paper 140. 2025-05-20. Relatório de pesquisa institucional. </w:t>
      </w:r>
      <w:hyperlink r:id="rId49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https://doi.org/10.54394/HETP0387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[SRC-OHMAN-AFTERLIFE18] </w:t>
      </w:r>
      <w:r>
        <w:rPr>
          <w:rFonts w:ascii="DejaVu Sans" w:hAnsi="DejaVu Sans" w:eastAsia="DejaVu Sans"/>
          <w:color w:val="1E2528"/>
          <w:sz w:val="17"/>
        </w:rPr>
        <w:t xml:space="preserve">Carl Öhman, Luciano Floridi, An ethical framework for the digital afterlife industry. Nature Human Behaviour, 2, 318-320. 2018-04-09. Artigo científico. </w:t>
      </w:r>
      <w:hyperlink r:id="rId5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https://doi.org/10.1038/s41562-018-0335-2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[SRC-UNCTAD-TIR25] </w:t>
      </w:r>
      <w:r>
        <w:rPr>
          <w:rFonts w:ascii="DejaVu Sans" w:hAnsi="DejaVu Sans" w:eastAsia="DejaVu Sans"/>
          <w:color w:val="1E2528"/>
          <w:sz w:val="17"/>
        </w:rPr>
        <w:t xml:space="preserve">UN Trade and Development, Technology and Innovation Report 2025: Inclusive artificial intelligence for development. 2025-04-07. Relatório da ONU. </w:t>
      </w:r>
      <w:hyperlink r:id="rId51">
        <w:r>
          <w:rPr>
            <w:rFonts w:ascii="DejaVu Sans" w:hAnsi="DejaVu Sans" w:eastAsia="DejaVu Sans"/>
            <w:color w:val="234C61"/>
            <w:u w:val="single"/>
            <w:sz w:val="16"/>
          </w:rPr>
          <w:t>https://unctad.org/publication/technology-and-innovation-report-2025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Energia, materiais e geopolítica das infraestruturas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[SRC-IEA-EAI25] </w:t>
      </w:r>
      <w:r>
        <w:rPr>
          <w:rFonts w:ascii="DejaVu Sans" w:hAnsi="DejaVu Sans" w:eastAsia="DejaVu Sans"/>
          <w:color w:val="1E2528"/>
          <w:sz w:val="17"/>
        </w:rPr>
        <w:t xml:space="preserve">International Energy Agency (IEA), Energy and AI. 2025-04-10. Relatório institucional. </w:t>
      </w:r>
      <w:hyperlink r:id="rId52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https://www.iea.org/reports/energy-and-ai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[SRC-LBNL-DC24] </w:t>
      </w:r>
      <w:r>
        <w:rPr>
          <w:rFonts w:ascii="DejaVu Sans" w:hAnsi="DejaVu Sans" w:eastAsia="DejaVu Sans"/>
          <w:color w:val="1E2528"/>
          <w:sz w:val="17"/>
        </w:rPr>
        <w:t xml:space="preserve">Arman Shehabi et al., 2024 United States Data Center Energy Usage Report. Lawrence Berkeley National Laboratory / U.S. Department of Energy, 2024-12-19. Relatório técnico oficial. DOI 10.71468/P1WC7Q. </w:t>
      </w:r>
      <w:hyperlink r:id="rId53">
        <w:r>
          <w:rPr>
            <w:rFonts w:ascii="DejaVu Sans" w:hAnsi="DejaVu Sans" w:eastAsia="DejaVu Sans"/>
            <w:color w:val="234C61"/>
            <w:u w:val="single"/>
            <w:sz w:val="16"/>
          </w:rPr>
          <w:t>https://eta.lbl.gov/publications/2024-lbnl-data-center-energy-usage-report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[SRC-USGS-WATER] </w:t>
      </w:r>
      <w:r>
        <w:rPr>
          <w:rFonts w:ascii="DejaVu Sans" w:hAnsi="DejaVu Sans" w:eastAsia="DejaVu Sans"/>
          <w:color w:val="1E2528"/>
          <w:sz w:val="17"/>
        </w:rPr>
        <w:t xml:space="preserve">U.S. Geological Survey, Water-Use Terminology. Página oficial. Acesso: 2026-07-15. Definições operacionais de withdrawal e consumptive use. </w:t>
      </w:r>
      <w:hyperlink r:id="rId54">
        <w:r>
          <w:rPr>
            <w:rFonts w:ascii="DejaVu Sans" w:hAnsi="DejaVu Sans" w:eastAsia="DejaVu Sans"/>
            <w:color w:val="234C61"/>
            <w:u w:val="single"/>
            <w:sz w:val="16"/>
          </w:rPr>
          <w:t>https://www.usgs.gov/mission-areas/water-resources/science/water-use-terminology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[SRC-ISO-LCA14040-44] </w:t>
      </w:r>
      <w:r>
        <w:rPr>
          <w:rFonts w:ascii="DejaVu Sans" w:hAnsi="DejaVu Sans" w:eastAsia="DejaVu Sans"/>
          <w:color w:val="1E2528"/>
          <w:sz w:val="17"/>
        </w:rPr>
        <w:t xml:space="preserve">International Organization for Standardization, ISO 14040:2006, Environmental management - Life cycle assessment - Principles and framework; ISO 14044:2006, Environmental management - Life cycle assessment - Requirements and guidelines. Edições atuais confirmadas em 2022. Normas metodológicas. </w:t>
      </w:r>
      <w:hyperlink r:id="rId55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https://www.iso.org/standard/37456.html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56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https://www.iso.org/standard/38498.html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[SRC-USGS-MCS26] </w:t>
      </w:r>
      <w:r>
        <w:rPr>
          <w:rFonts w:ascii="DejaVu Sans" w:hAnsi="DejaVu Sans" w:eastAsia="DejaVu Sans"/>
          <w:color w:val="1E2528"/>
          <w:sz w:val="17"/>
        </w:rPr>
        <w:t xml:space="preserve">U.S. Geological Survey, Mineral Commodity Summaries 2026. Versão 1.3, maio de 2026. Relatório oficial. </w:t>
      </w:r>
      <w:hyperlink r:id="rId57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https://doi.org/10.3133/mcs2026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[SRC-IEA-CM25] </w:t>
      </w:r>
      <w:r>
        <w:rPr>
          <w:rFonts w:ascii="DejaVu Sans" w:hAnsi="DejaVu Sans" w:eastAsia="DejaVu Sans"/>
          <w:color w:val="1E2528"/>
          <w:sz w:val="17"/>
        </w:rPr>
        <w:t xml:space="preserve">International Energy Agency (IEA), Global Critical Minerals Outlook 2025. 2025. Relatório institucional. </w:t>
      </w:r>
      <w:hyperlink r:id="rId58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https://www.iea.org/reports/global-critical-minerals-outlook-2025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[SRC-UNITAR-EW24] </w:t>
      </w:r>
      <w:r>
        <w:rPr>
          <w:rFonts w:ascii="DejaVu Sans" w:hAnsi="DejaVu Sans" w:eastAsia="DejaVu Sans"/>
          <w:color w:val="1E2528"/>
          <w:sz w:val="17"/>
        </w:rPr>
        <w:t xml:space="preserve">UNITAR SCYCLE e International Telecommunication Union, Global E-waste Monitor 2024. 2024-03-20. Relatório da ONU. </w:t>
      </w:r>
      <w:hyperlink r:id="rId59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https://www.itu.int/hub/publication/d-gen-e_waste-01-2024/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[SRC-STARCLOUD1-25] </w:t>
      </w:r>
      <w:r>
        <w:rPr>
          <w:rFonts w:ascii="DejaVu Sans" w:hAnsi="DejaVu Sans" w:eastAsia="DejaVu Sans"/>
          <w:color w:val="1E2528"/>
          <w:sz w:val="17"/>
        </w:rPr>
        <w:t xml:space="preserve">Starcloud, Starcloud-1. Página da empresa sobre sua própria atividade; declara o lançamento do satélite em novembro de 2025, sem comprovar escala ou viabilidade comercial. Acesso: 2026-07-17. </w:t>
      </w:r>
      <w:hyperlink r:id="rId60">
        <w:r>
          <w:rPr>
            <w:rFonts w:ascii="DejaVu Sans" w:hAnsi="DejaVu Sans" w:eastAsia="DejaVu Sans"/>
            <w:color w:val="234C61"/>
            <w:u w:val="single"/>
            <w:sz w:val="16"/>
          </w:rPr>
          <w:t>https://www.starcloud.com/starcloud-1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[SRC-AXIOM-ODC26] </w:t>
      </w:r>
      <w:r>
        <w:rPr>
          <w:rFonts w:ascii="DejaVu Sans" w:hAnsi="DejaVu Sans" w:eastAsia="DejaVu Sans"/>
          <w:color w:val="1E2528"/>
          <w:sz w:val="17"/>
        </w:rPr>
        <w:t xml:space="preserve">Axiom Space, Orbital Data Centers. Página da empresa sobre sua própria atividade; declara o lançamento dos dois primeiros nós dedicados em órbita terrestre baixa em 11 de janeiro de 2026. Acesso: 2026-07-17. </w:t>
      </w:r>
      <w:hyperlink r:id="rId61">
        <w:r>
          <w:rPr>
            <w:rFonts w:ascii="DejaVu Sans" w:hAnsi="DejaVu Sans" w:eastAsia="DejaVu Sans"/>
            <w:color w:val="234C61"/>
            <w:u w:val="single"/>
            <w:sz w:val="16"/>
          </w:rPr>
          <w:t>https://www.axiomspace.com/orbital-data-center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[SRC-GOOGLE-SUNCATCHER25] </w:t>
      </w:r>
      <w:r>
        <w:rPr>
          <w:rFonts w:ascii="DejaVu Sans" w:hAnsi="DejaVu Sans" w:eastAsia="DejaVu Sans"/>
          <w:color w:val="1E2528"/>
          <w:sz w:val="17"/>
        </w:rPr>
        <w:t xml:space="preserve">Google Research, Exploring a space-based, scalable AI infrastructure system design. 2025-11-04. Anúncio da empresa sobre o Project Suncatcher; os dois protótipos de satélite previstos para o início de 2027 continuam sendo um projeto anunciado, não um lançamento já realizado. Acesso: 2026-07-17. </w:t>
      </w:r>
      <w:hyperlink r:id="rId62">
        <w:r>
          <w:rPr>
            <w:rFonts w:ascii="DejaVu Sans" w:hAnsi="DejaVu Sans" w:eastAsia="DejaVu Sans"/>
            <w:color w:val="234C61"/>
            <w:u w:val="single"/>
            <w:sz w:val="16"/>
          </w:rPr>
          <w:t>https://research.google/blog/exploring-a-space-based-scalable-ai-infrastructure-system-design/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[SRC-CORDIS-ASCEND] </w:t>
      </w:r>
      <w:r>
        <w:rPr>
          <w:rFonts w:ascii="DejaVu Sans" w:hAnsi="DejaVu Sans" w:eastAsia="DejaVu Sans"/>
          <w:color w:val="1E2528"/>
          <w:sz w:val="17"/>
        </w:rPr>
        <w:t xml:space="preserve">Comissão Europeia, CORDIS, Advanced Space Cloud for European Net zero emissions and Data sovereignty (ASCEND), grant agreement 101082517: Fact Sheet e Periodic Reporting. Projeto: 2023-01-01-2024-04-30; relatório atualizado em 2026-01-14. Ficha e relatório institucionais de viabilidade; não constituem fonte técnica independente. DOI do projeto 10.3030/101082517. Acesso: 2026-07-17. </w:t>
      </w:r>
      <w:hyperlink r:id="rId63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64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https://cordis.europa.eu/project/id/101082517/reporting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[SRC-TURYSHEV-ODC26] </w:t>
      </w:r>
      <w:r>
        <w:rPr>
          <w:rFonts w:ascii="DejaVu Sans" w:hAnsi="DejaVu Sans" w:eastAsia="DejaVu Sans"/>
          <w:color w:val="1E2528"/>
          <w:sz w:val="17"/>
        </w:rPr>
        <w:t xml:space="preserve">Slava G. Turyshev, Orbital Data Centers: Spacecraft Constraints and Economic Viability. 2026-04-29. Preprint técnico independente, arXiv:2604.27197. DOI 10.48550/arXiv.2604.27197. Acesso: 2026-07-17. </w:t>
      </w:r>
      <w:hyperlink r:id="rId65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https://arxiv.org/abs/2604.27197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6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https://doi.org/10.48550/arXiv.2604.27197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[SRC-ALAHMAD-SBDC26] </w:t>
      </w:r>
      <w:r>
        <w:rPr>
          <w:rFonts w:ascii="DejaVu Sans" w:hAnsi="DejaVu Sans" w:eastAsia="DejaVu Sans"/>
          <w:color w:val="1E2528"/>
          <w:sz w:val="17"/>
        </w:rPr>
        <w:t xml:space="preserve">Mahmoud Al Ahmad, Qurban Memon e Michael Pecht, Reliability and Risk in Space-Based Data Centers: A Lifecycle Assessment of Orbital Cloud Infrastructure. Applied Sciences, 16(11), 5247. 2026-05-23. Artigo técnico independente revisado por pares. DOI 10.3390/app16115247. Acesso: 2026-07-17. </w:t>
      </w:r>
      <w:hyperlink r:id="rId67">
        <w:r>
          <w:rPr>
            <w:rFonts w:ascii="DejaVu Sans" w:hAnsi="DejaVu Sans" w:eastAsia="DejaVu Sans"/>
            <w:color w:val="234C61"/>
            <w:u w:val="single"/>
            <w:sz w:val="16"/>
          </w:rPr>
          <w:t>https://www.mdpi.com/2076-3417/16/11/5247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6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https://doi.org/10.3390/app16115247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[SRC-WILSON-LCSA23] </w:t>
      </w:r>
      <w:r>
        <w:rPr>
          <w:rFonts w:ascii="DejaVu Sans" w:hAnsi="DejaVu Sans" w:eastAsia="DejaVu Sans"/>
          <w:color w:val="1E2528"/>
          <w:sz w:val="17"/>
        </w:rPr>
        <w:t xml:space="preserve">Andrew R. Wilson, Massimiliano Vasile, Christie Maddock e Keith Baker, Implementing life cycle sustainability assessment for improved space mission design. Integrated Environmental Assessment and Management, 19, 1002-1022, 2023. Artigo técnico independente revisado por pares. DOI 10.1002/ieam.4722. Acesso: 2026-07-17. </w:t>
      </w:r>
      <w:hyperlink r:id="rId69">
        <w:r>
          <w:rPr>
            <w:rFonts w:ascii="DejaVu Sans" w:hAnsi="DejaVu Sans" w:eastAsia="DejaVu Sans"/>
            <w:color w:val="234C61"/>
            <w:u w:val="single"/>
            <w:sz w:val="16"/>
          </w:rPr>
          <w:t>https://onlinelibrary.wiley.com/doi/10.1002/ieam.4722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7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https://doi.org/10.1002/ieam.4722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[SRC-MURPHY-REENTRY23] </w:t>
      </w:r>
      <w:r>
        <w:rPr>
          <w:rFonts w:ascii="DejaVu Sans" w:hAnsi="DejaVu Sans" w:eastAsia="DejaVu Sans"/>
          <w:color w:val="1E2528"/>
          <w:sz w:val="17"/>
        </w:rPr>
        <w:t xml:space="preserve">Daniel M. Murphy et al., Metals from spacecraft reentry in stratospheric aerosol particles. Proceedings of the National Academy of Sciences, 120(43), 2023. Artigo científico independente revisado por pares; cópia no repositório institucional da NOAA. DOI 10.1073/pnas.2313374120. Acesso: 2026-07-17. </w:t>
      </w:r>
      <w:hyperlink r:id="rId71">
        <w:r>
          <w:rPr>
            <w:rFonts w:ascii="DejaVu Sans" w:hAnsi="DejaVu Sans" w:eastAsia="DejaVu Sans"/>
            <w:color w:val="234C61"/>
            <w:u w:val="single"/>
            <w:sz w:val="16"/>
          </w:rPr>
          <w:t>https://repository.library.noaa.gov/view/noaa/58476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7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https://doi.org/10.1073/pnas.2313374120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[SRC-KPA-MOMBASA] </w:t>
      </w:r>
      <w:r>
        <w:rPr>
          <w:rFonts w:ascii="DejaVu Sans" w:hAnsi="DejaVu Sans" w:eastAsia="DejaVu Sans"/>
          <w:color w:val="1E2528"/>
          <w:sz w:val="17"/>
        </w:rPr>
        <w:t xml:space="preserve">Kenya Ports Authority, Port of Mombasa. Página institucional sobre a ligação multimodal do porto com o interior. Acesso: 2026-07-17. </w:t>
      </w:r>
      <w:hyperlink r:id="rId73">
        <w:r>
          <w:rPr>
            <w:rFonts w:ascii="DejaVu Sans" w:hAnsi="DejaVu Sans" w:eastAsia="DejaVu Sans"/>
            <w:color w:val="234C61"/>
            <w:u w:val="single"/>
            <w:sz w:val="16"/>
          </w:rPr>
          <w:t>https://kpa.co.ke/Ports/PortOfMombasa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[SRC-NCTTCA-NORTHERN-CORRIDOR] </w:t>
      </w:r>
      <w:r>
        <w:rPr>
          <w:rFonts w:ascii="DejaVu Sans" w:hAnsi="DejaVu Sans" w:eastAsia="DejaVu Sans"/>
          <w:color w:val="1E2528"/>
          <w:sz w:val="17"/>
        </w:rPr>
        <w:t xml:space="preserve">Northern Corridor Transit and Transport Coordination Authority, Who We Are. Página institucional sobre o Corredor Norte entre o porto de Mombasa e os países sem litoral da região dos Grandes Lagos. Acesso: 2026-07-17. </w:t>
      </w:r>
      <w:hyperlink r:id="rId74">
        <w:r>
          <w:rPr>
            <w:rFonts w:ascii="DejaVu Sans" w:hAnsi="DejaVu Sans" w:eastAsia="DejaVu Sans"/>
            <w:color w:val="234C61"/>
            <w:u w:val="single"/>
            <w:sz w:val="16"/>
          </w:rPr>
          <w:t>https://www.ttcanc.org/node/70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[SRC-NIST-CHIPS-SUPPLY] </w:t>
      </w:r>
      <w:r>
        <w:rPr>
          <w:rFonts w:ascii="DejaVu Sans" w:hAnsi="DejaVu Sans" w:eastAsia="DejaVu Sans"/>
          <w:color w:val="1E2528"/>
          <w:sz w:val="17"/>
        </w:rPr>
        <w:t xml:space="preserve">NIST, Vision for Success: Facilities for Semiconductor Materials and Manufacturing Equipment. NIST / CHIPS for America. 2023-06-22. Documentação oficial. </w:t>
      </w:r>
      <w:hyperlink r:id="rId75">
        <w:r>
          <w:rPr>
            <w:rFonts w:ascii="DejaVu Sans" w:hAnsi="DejaVu Sans" w:eastAsia="DejaVu Sans"/>
            <w:color w:val="234C61"/>
            <w:u w:val="single"/>
            <w:sz w:val="16"/>
          </w:rPr>
          <w:t>https://www.nist.gov/chips/vision-success-facilities-semiconductor-materials-and-manufacturing-equipment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[SRC-GAO-SEMI22] </w:t>
      </w:r>
      <w:r>
        <w:rPr>
          <w:rFonts w:ascii="DejaVu Sans" w:hAnsi="DejaVu Sans" w:eastAsia="DejaVu Sans"/>
          <w:color w:val="1E2528"/>
          <w:sz w:val="17"/>
        </w:rPr>
        <w:t xml:space="preserve">U.S. Government Accountability Office, Semiconductor Supply Chain: Policy Considerations from Selected Experts for Reducing Risks and Mitigating Shortages. 2022-07-26. Relatório oficial. </w:t>
      </w:r>
      <w:hyperlink r:id="rId76">
        <w:r>
          <w:rPr>
            <w:rFonts w:ascii="DejaVu Sans" w:hAnsi="DejaVu Sans" w:eastAsia="DejaVu Sans"/>
            <w:color w:val="234C61"/>
            <w:u w:val="single"/>
            <w:sz w:val="16"/>
          </w:rPr>
          <w:t>https://www.gao.gov/products/gao-22-105923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[SRC-EU-CHIPS] </w:t>
      </w:r>
      <w:r>
        <w:rPr>
          <w:rFonts w:ascii="DejaVu Sans" w:hAnsi="DejaVu Sans" w:eastAsia="DejaVu Sans"/>
          <w:color w:val="1E2528"/>
          <w:sz w:val="17"/>
        </w:rPr>
        <w:t xml:space="preserve">Comissão Europeia, European Chips Act. Página institucional sobre o quadro vigente; não é um ato normativo. Acesso: 2026. </w:t>
      </w:r>
      <w:hyperlink r:id="rId7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https://digital-strategy.ec.europa.eu/en/policies/european-chips-act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[SRC-EU-CHIPS2-26] </w:t>
      </w:r>
      <w:r>
        <w:rPr>
          <w:rFonts w:ascii="DejaVu Sans" w:hAnsi="DejaVu Sans" w:eastAsia="DejaVu Sans"/>
          <w:color w:val="1E2528"/>
          <w:sz w:val="17"/>
        </w:rPr>
        <w:t xml:space="preserve">Comissão Europeia, Proposal for the Chips Act 2.0. 2026-06-03. Proposta legislativa; não constitui direito vigente. </w:t>
      </w:r>
      <w:hyperlink r:id="rId7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https://digital-strategy.ec.europa.eu/en/library/proposal-chips-act-20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[SRC-BIS-AC26] </w:t>
      </w:r>
      <w:r>
        <w:rPr>
          <w:rFonts w:ascii="DejaVu Sans" w:hAnsi="DejaVu Sans" w:eastAsia="DejaVu Sans"/>
          <w:color w:val="1E2528"/>
          <w:sz w:val="17"/>
        </w:rPr>
        <w:t xml:space="preserve">U.S. Bureau of Industry and Security, Revision to License Review Policy for Advanced Computing Commodities. Regra final, 91 FR 1684, 15 CFR parts 742, 744 e 748, publicada e em vigor em 2026-01-15; Extension of Authorized Integrated Circuit Designer Status, 91 FR 17851, publicada em 2026-04-09 e em vigor desde 2026-04-07; Guidance on Advanced Computing Items, FAQ de 2026-05. Atos e guia oficiais; a aplicação deve ser verificada à luz das EAR vigentes e da transação concreta. Acesso: 2026-07-17. </w:t>
      </w:r>
      <w:hyperlink r:id="rId79">
        <w:r>
          <w:rPr>
            <w:rFonts w:ascii="DejaVu Sans" w:hAnsi="DejaVu Sans" w:eastAsia="DejaVu Sans"/>
            <w:color w:val="234C61"/>
            <w:u w:val="single"/>
            <w:sz w:val="16"/>
          </w:rPr>
          <w:t>https://www.federalregister.gov/documents/2026/01/15/2026-00789/revision-to-license-review-policy-for-advanced-computing-commodities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80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https://www.bis.gov/regulations/federal-register-notices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81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https://www.bis.gov/regulations/ear/744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82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https://www.bis.gov/regulations/ear/748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[SRC-ITU-CABLES26] </w:t>
      </w:r>
      <w:r>
        <w:rPr>
          <w:rFonts w:ascii="DejaVu Sans" w:hAnsi="DejaVu Sans" w:eastAsia="DejaVu Sans"/>
          <w:color w:val="1E2528"/>
          <w:sz w:val="17"/>
        </w:rPr>
        <w:t xml:space="preserve">International Telecommunication Union e International Cable Protection Committee, International Advisory Body on Submarine Cable Resilience - Report of the Working Groups 2026. Aprovado em 2026-07-10. Relatório institucional final. </w:t>
      </w:r>
      <w:hyperlink r:id="rId83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https://www.itu.int/hub/publication/s-iab-wg-2026/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[SRC-CMA-CLOUD25] </w:t>
      </w:r>
      <w:r>
        <w:rPr>
          <w:rFonts w:ascii="DejaVu Sans" w:hAnsi="DejaVu Sans" w:eastAsia="DejaVu Sans"/>
          <w:color w:val="1E2528"/>
          <w:sz w:val="17"/>
        </w:rPr>
        <w:t xml:space="preserve">UK Competition and Markets Authority, Cloud services market investigation - final decision. 2025-07-31. Decisão regulatória final sobre o mercado britânico de infraestrutura de nuvem pública; atualização: Actions on cloud and business software through the UK digital markets competition regime, 2026-03-31, e início da investigação SMS sobre o ecossistema de software da Microsoft, 2026-05-14. </w:t>
      </w:r>
      <w:hyperlink r:id="rId84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https://www.gov.uk/cma-cases/cloud-services-market-investigation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85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https://www.gov.uk/government/publications/business-software-and-cloud-services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[SRC-ENISA-TL25] </w:t>
      </w:r>
      <w:r>
        <w:rPr>
          <w:rFonts w:ascii="DejaVu Sans" w:hAnsi="DejaVu Sans" w:eastAsia="DejaVu Sans"/>
          <w:color w:val="1E2528"/>
          <w:sz w:val="17"/>
        </w:rPr>
        <w:t xml:space="preserve">ENISA, ENISA Threat Landscape 2025. 2025-10-01. Relatório oficial. </w:t>
      </w:r>
      <w:hyperlink r:id="rId86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https://www.enisa.europa.eu/publications/enisa-threat-landscape-2025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[SRC-ENISA-FRONTIER26] </w:t>
      </w:r>
      <w:r>
        <w:rPr>
          <w:rFonts w:ascii="DejaVu Sans" w:hAnsi="DejaVu Sans" w:eastAsia="DejaVu Sans"/>
          <w:color w:val="1E2528"/>
          <w:sz w:val="17"/>
        </w:rPr>
        <w:t xml:space="preserve">ENISA, ENISA’s view on Cybersecurity in the Frontier AI Era. 2026-07-07. Relatório oficial com recomendações iniciais para capacidades operacionais contra ameaças que operam à velocidade das máquinas; não substitui o Threat Landscape anual. </w:t>
      </w:r>
      <w:hyperlink r:id="rId87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https://www.enisa.europa.eu/publications/enisas-view-on-cybersecurity-in-the-frontier-ai-era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[SRC-UN-CYBER] </w:t>
      </w:r>
      <w:r>
        <w:rPr>
          <w:rFonts w:ascii="DejaVu Sans" w:hAnsi="DejaVu Sans" w:eastAsia="DejaVu Sans"/>
          <w:color w:val="1E2528"/>
          <w:sz w:val="17"/>
        </w:rPr>
        <w:t xml:space="preserve">Nações Unidas, Final substantive report of the Open-ended Working Group on developments in the field of information and telecommunications in the context of international security, A/75/816. 2021-03-18. Relatório oficial da ONU. </w:t>
      </w:r>
      <w:hyperlink r:id="rId8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https://digitallibrary.un.org/record/3908015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Direito, regulação e diretrizes institucionais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[SRC-LIARS-DIVIDEND] </w:t>
      </w:r>
      <w:r>
        <w:rPr>
          <w:rFonts w:ascii="DejaVu Sans" w:hAnsi="DejaVu Sans" w:eastAsia="DejaVu Sans"/>
          <w:color w:val="1E2528"/>
          <w:sz w:val="17"/>
        </w:rPr>
        <w:t xml:space="preserve">Robert Chesney e Danielle Keats Citron, Deep Fakes: A Looming Challenge for Privacy, Democracy, and National Security. California Law Review, vol. 107, 2019, pp. 1753-1819. Fonte primária do conceito de “liar’s dividend”; DOI 10.15779/Z38RV0D15J. </w:t>
      </w:r>
      <w:hyperlink r:id="rId89">
        <w:r>
          <w:rPr>
            <w:rFonts w:ascii="DejaVu Sans" w:hAnsi="DejaVu Sans" w:eastAsia="DejaVu Sans"/>
            <w:color w:val="234C61"/>
            <w:u w:val="single"/>
            <w:sz w:val="16"/>
          </w:rPr>
          <w:t>https://www.californialawreview.org/print/deep-fakes-a-looming-challenge-for-privacy-democracy-and-national-security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[SRC-S34-001] </w:t>
      </w:r>
      <w:r>
        <w:rPr>
          <w:rFonts w:ascii="DejaVu Sans" w:hAnsi="DejaVu Sans" w:eastAsia="DejaVu Sans"/>
          <w:color w:val="1E2528"/>
          <w:sz w:val="17"/>
        </w:rPr>
        <w:t xml:space="preserve">Parlamento Europeu e Conselho, Regolamento (UE) 2024/1689 (AI Act). 2024-06-13. Direito vigente; aplicação progressiva. CELEX 32024R1689; ELI reg/2024/1689/oj. </w:t>
      </w:r>
      <w:hyperlink r:id="rId90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https://eur-lex.europa.eu/eli/reg/2024/1689/oj/eng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[SRC-S34-003] </w:t>
      </w:r>
      <w:r>
        <w:rPr>
          <w:rFonts w:ascii="DejaVu Sans" w:hAnsi="DejaVu Sans" w:eastAsia="DejaVu Sans"/>
          <w:color w:val="1E2528"/>
          <w:sz w:val="17"/>
        </w:rPr>
        <w:t xml:space="preserve">Comissão Europeia - AI Act Service Desk, AI Act - Article 50: Transparency obligations for providers and deployers of certain AI systems. Serviço oficial relativo ao art. 50 do Regolamento (UE) 2024/1689. Acesso: 2026-07-17. </w:t>
      </w:r>
      <w:hyperlink r:id="rId91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[SRC-S34-004] </w:t>
      </w:r>
      <w:r>
        <w:rPr>
          <w:rFonts w:ascii="DejaVu Sans" w:hAnsi="DejaVu Sans" w:eastAsia="DejaVu Sans"/>
          <w:color w:val="1E2528"/>
          <w:sz w:val="17"/>
        </w:rPr>
        <w:t xml:space="preserve">Comissão Europeia - AI Act Service Desk, AI Act - Article 53: Obligations for providers of general-purpose AI models. Serviço oficial relativo ao art. 53 do Regolamento (UE) 2024/1689. Acesso: 2026-07-17. </w:t>
      </w:r>
      <w:hyperlink r:id="rId92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https://ai-act-service-desk.ec.europa.eu/en/ai-act/article-53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[SRC-S34-005] </w:t>
      </w:r>
      <w:r>
        <w:rPr>
          <w:rFonts w:ascii="DejaVu Sans" w:hAnsi="DejaVu Sans" w:eastAsia="DejaVu Sans"/>
          <w:color w:val="1E2528"/>
          <w:sz w:val="17"/>
        </w:rPr>
        <w:t xml:space="preserve">Parlamento Europeu e Conselho, Regolamento (UE) 2016/679 (GDPR). 2016-04-27. Direito vigente. CELEX 32016R0679; ELI reg/2016/679/oj. </w:t>
      </w:r>
      <w:hyperlink r:id="rId93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https://eur-lex.europa.eu/eli/reg/2016/679/oj/eng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[SRC-S34-006] </w:t>
      </w:r>
      <w:r>
        <w:rPr>
          <w:rFonts w:ascii="DejaVu Sans" w:hAnsi="DejaVu Sans" w:eastAsia="DejaVu Sans"/>
          <w:color w:val="1E2528"/>
          <w:sz w:val="17"/>
        </w:rPr>
        <w:t xml:space="preserve">Article 29 Data Protection Working Party, Guidelines on Automated individual decision-making and Profiling for the purposes of Regulation 2016/679, WP251 rev.01. Endossadas pelo European Data Protection Board em 2018-05-25. Orientação interpretativa oficial; não é uma fonte legislativa. </w:t>
      </w:r>
      <w:hyperlink r:id="rId94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https://www.edpb.europa.eu/documents/guideline/automated-decision-making-and-profiling_en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[SRC-S34-007] </w:t>
      </w:r>
      <w:r>
        <w:rPr>
          <w:rFonts w:ascii="DejaVu Sans" w:hAnsi="DejaVu Sans" w:eastAsia="DejaVu Sans"/>
          <w:color w:val="1E2528"/>
          <w:sz w:val="17"/>
        </w:rPr>
        <w:t xml:space="preserve">Tribunal de Justiça da União Europeia, SCHUFA Holding (Scoring), C-634/21. 2023-12-07. Jurisprudência vinculante na interpretação do direito da UE. ECLI:EU:C:2023:957. </w:t>
      </w:r>
      <w:hyperlink r:id="rId95">
        <w:r>
          <w:rPr>
            <w:rFonts w:ascii="DejaVu Sans" w:hAnsi="DejaVu Sans" w:eastAsia="DejaVu Sans"/>
            <w:color w:val="234C61"/>
            <w:u w:val="single"/>
            <w:sz w:val="16"/>
          </w:rPr>
          <w:t>https://infocuria.curia.europa.eu/tabs/redirect/juris/document/document.jsf?docid=280426&amp;doclang=en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[SRC-S34-008] </w:t>
      </w:r>
      <w:r>
        <w:rPr>
          <w:rFonts w:ascii="DejaVu Sans" w:hAnsi="DejaVu Sans" w:eastAsia="DejaVu Sans"/>
          <w:color w:val="1E2528"/>
          <w:sz w:val="17"/>
        </w:rPr>
        <w:t xml:space="preserve">Parlamento Europeu e Conselho, Regolamento (UE) 2024/1183 che istituisce il quadro europeo relativo a un’identità digitale. 2024-04-11. Direito vigente. CELEX 32024R1183; ELI reg/2024/1183/oj. </w:t>
      </w:r>
      <w:hyperlink r:id="rId9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https://eur-lex.europa.eu/eli/reg/2024/1183/oj/eng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[SRC-S34-009] </w:t>
      </w:r>
      <w:r>
        <w:rPr>
          <w:rFonts w:ascii="DejaVu Sans" w:hAnsi="DejaVu Sans" w:eastAsia="DejaVu Sans"/>
          <w:color w:val="1E2528"/>
          <w:sz w:val="17"/>
        </w:rPr>
        <w:t xml:space="preserve">Comissão Europeia, European Digital Identity Wallet implementation. Página atualizada em 2026-06-22. O quadro prevê carteiras digitais dos Estados-Membros até o fim de 2026; o repositório oficial do Architecture and Reference Framework indica como versão atual a v2.9.0 de 2026-05-21. Página institucional e especificação técnica. Acesso: 2026-07-17. </w:t>
      </w:r>
      <w:hyperlink r:id="rId9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https://digital-strategy.ec.europa.eu/en/policies/eudi-wallet-implementation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98">
        <w:r>
          <w:rPr>
            <w:rFonts w:ascii="DejaVu Sans" w:hAnsi="DejaVu Sans" w:eastAsia="DejaVu Sans"/>
            <w:color w:val="234C61"/>
            <w:u w:val="single"/>
            <w:sz w:val="16"/>
          </w:rPr>
          <w:t>https://github.com/eu-digital-identity-wallet/eudi-doc-architecture-and-reference-framework/releases/tag/v2.9.0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[SRC-S34-010] </w:t>
      </w:r>
      <w:r>
        <w:rPr>
          <w:rFonts w:ascii="DejaVu Sans" w:hAnsi="DejaVu Sans" w:eastAsia="DejaVu Sans"/>
          <w:color w:val="1E2528"/>
          <w:sz w:val="17"/>
        </w:rPr>
        <w:t xml:space="preserve">Parlamento Europeu e Conselho, Regolamento (UE) 2022/2065 sui servizi digitali (DSA). 2022-10-19. Direito vigente. CELEX 32022R2065; ELI reg/2022/2065/oj. </w:t>
      </w:r>
      <w:hyperlink r:id="rId99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https://eur-lex.europa.eu/eli/reg/2022/2065/oj/eng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[SRC-S34-011] </w:t>
      </w:r>
      <w:r>
        <w:rPr>
          <w:rFonts w:ascii="DejaVu Sans" w:hAnsi="DejaVu Sans" w:eastAsia="DejaVu Sans"/>
          <w:color w:val="1E2528"/>
          <w:sz w:val="17"/>
        </w:rPr>
        <w:t xml:space="preserve">Comissão Europeia - AI Act Service Desk, AI Act - Article 5: Prohibited AI practices. Serviço oficial relativo ao art. 5 do Regolamento (UE) 2024/1689. Acesso: 2026-07-14. </w:t>
      </w:r>
      <w:hyperlink r:id="rId100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[SRC-S34-012] </w:t>
      </w:r>
      <w:r>
        <w:rPr>
          <w:rFonts w:ascii="DejaVu Sans" w:hAnsi="DejaVu Sans" w:eastAsia="DejaVu Sans"/>
          <w:color w:val="1E2528"/>
          <w:sz w:val="17"/>
        </w:rPr>
        <w:t xml:space="preserve">Parlamento Europeu e Conselho, Direttiva (UE) 2024/2831 relativa al miglioramento delle condizioni di lavoro nel lavoro mediante piattaforme digitali. 2024-10-23. Direito da UE a ser transposto; âmbito setorial. CELEX 32024L2831; ELI dir/2024/2831/oj. </w:t>
      </w:r>
      <w:hyperlink r:id="rId101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https://eur-lex.europa.eu/eli/dir/2024/2831/oj/eng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[SRC-S34-013] </w:t>
      </w:r>
      <w:r>
        <w:rPr>
          <w:rFonts w:ascii="DejaVu Sans" w:hAnsi="DejaVu Sans" w:eastAsia="DejaVu Sans"/>
          <w:color w:val="1E2528"/>
          <w:sz w:val="17"/>
        </w:rPr>
        <w:t xml:space="preserve">Parlamento Europeu e Conselho, Direttiva (UE) 2019/790 sul diritto d’autore nel mercato unico digitale. 2019-04-17. Direito da UE transposto com diferenças nacionais. CELEX 32019L0790; ELI dir/2019/790/oj. </w:t>
      </w:r>
      <w:hyperlink r:id="rId102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https://eur-lex.europa.eu/eli/dir/2019/790/oj/eng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[SRC-S34-020] </w:t>
      </w:r>
      <w:r>
        <w:rPr>
          <w:rFonts w:ascii="DejaVu Sans" w:hAnsi="DejaVu Sans" w:eastAsia="DejaVu Sans"/>
          <w:color w:val="1E2528"/>
          <w:sz w:val="17"/>
        </w:rPr>
        <w:t xml:space="preserve">Comissão Europeia, Code of Practice on Transparency of AI-Generated Content. Versão final publicada em 2026-06-10; Commission Opinion de 8 de julho de 2026 e avaliação do AI Board de 9 de julho de 2026 sobre a adequação. Instrumento voluntário para a aplicação do art. 50 do AI Act; a adesão não constitui prova conclusiva de conformidade. </w:t>
      </w:r>
      <w:hyperlink r:id="rId103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https://digital-strategy.ec.europa.eu/en/news/commission-publishes-code-practice-marking-and-labelling-ai-generated-content</w:t>
        </w:r>
      </w:hyperlink>
      <w:r>
        <w:rPr>
          <w:rFonts w:ascii="DejaVu Sans" w:hAnsi="DejaVu Sans" w:eastAsia="DejaVu Sans"/>
          <w:color w:val="1E2528"/>
          <w:sz w:val="17"/>
        </w:rPr>
        <w:t>;</w:t>
      </w:r>
      <w:r>
        <w:rPr>
          <w:rFonts w:ascii="DejaVu Sans" w:hAnsi="DejaVu Sans" w:eastAsia="DejaVu Sans"/>
          <w:color w:val="1E2528"/>
          <w:sz w:val="17"/>
        </w:rPr>
        <w:t xml:space="preserve"> </w:t>
      </w:r>
      <w:hyperlink r:id="rId104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https://digital-strategy.ec.europa.eu/en/library/commission-opinion-assessment-code-practice-transparency-ai-generated-content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[SRC-S34-021] </w:t>
      </w:r>
      <w:r>
        <w:rPr>
          <w:rFonts w:ascii="DejaVu Sans" w:hAnsi="DejaVu Sans" w:eastAsia="DejaVu Sans"/>
          <w:color w:val="1E2528"/>
          <w:sz w:val="17"/>
        </w:rPr>
        <w:t xml:space="preserve">Comissão Europeia, General-Purpose AI Code of Practice. Versão final publicada em 2025-07-10. Instrumento voluntário de apoio à conformidade; as obrigações GPAI aplicam-se a partir de 2025-08-02, e a fiscalização pelo AI Office começa em 2026-08-02 para os novos modelos e em 2027-08-02 para os existentes. Acesso: 2026-07-17. </w:t>
      </w:r>
      <w:hyperlink r:id="rId105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https://digital-strategy.ec.europa.eu/en/news/general-purpose-ai-code-practice-now-available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[SRC-S34-015] </w:t>
      </w:r>
      <w:r>
        <w:rPr>
          <w:rFonts w:ascii="DejaVu Sans" w:hAnsi="DejaVu Sans" w:eastAsia="DejaVu Sans"/>
          <w:color w:val="1E2528"/>
          <w:sz w:val="17"/>
        </w:rPr>
        <w:t xml:space="preserve">Parlamento Europeu e Conselho, Regolamento (UE) 2017/745 relativo ai dispositivi medici. 2017-04-05. Direito vigente. CELEX 32017R0745; ELI reg/2017/745/oj. </w:t>
      </w:r>
      <w:hyperlink r:id="rId10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https://eur-lex.europa.eu/eli/reg/2017/745/oj/eng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[SRC-S34-016] </w:t>
      </w:r>
      <w:r>
        <w:rPr>
          <w:rFonts w:ascii="DejaVu Sans" w:hAnsi="DejaVu Sans" w:eastAsia="DejaVu Sans"/>
          <w:color w:val="1E2528"/>
          <w:sz w:val="17"/>
        </w:rPr>
        <w:t xml:space="preserve">Parlamento Europeu e Conselho, Regolamento (UE) 2017/746 relativo ai dispositivi medico-diagnostici in vitro. 2017-04-05. Direito vigente. CELEX 32017R0746; ELI reg/2017/746/oj. </w:t>
      </w:r>
      <w:hyperlink r:id="rId107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https://eur-lex.europa.eu/eli/reg/2017/746/oj/eng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[SRC-S34-017] </w:t>
      </w:r>
      <w:r>
        <w:rPr>
          <w:rFonts w:ascii="DejaVu Sans" w:hAnsi="DejaVu Sans" w:eastAsia="DejaVu Sans"/>
          <w:color w:val="1E2528"/>
          <w:sz w:val="17"/>
        </w:rPr>
        <w:t xml:space="preserve">European Data Protection Board, Guidelines 05/2022 on the use of facial recognition technology in the area of law enforcement. Versão final 2.0, 2023-05-17. Orientação interpretativa oficial; não é lei. </w:t>
      </w:r>
      <w:hyperlink r:id="rId108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https://www.edpb.europa.eu/system/files/2023-05/edpb_guidelines_202304_frtlawenforcement_v2_en.pdf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spacing w:after="6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[SRC-S34-018] </w:t>
      </w:r>
      <w:r>
        <w:rPr>
          <w:rFonts w:ascii="DejaVu Sans" w:hAnsi="DejaVu Sans" w:eastAsia="DejaVu Sans"/>
          <w:color w:val="1E2528"/>
          <w:sz w:val="17"/>
        </w:rPr>
        <w:t xml:space="preserve">Garante per la protezione dei dati personali, Eredità digitale e art. 2-terdecies del Codice privacy. Guia institucional; base normativa: d.lgs. 196/2003, art. 2-terdecies. Acesso: 2026-07-14. </w:t>
      </w:r>
      <w:hyperlink r:id="rId109">
        <w:r>
          <w:rPr>
            <w:rFonts w:ascii="DejaVu Sans" w:hAnsi="DejaVu Sans" w:eastAsia="DejaVu Sans"/>
            <w:color w:val="234C61"/>
            <w:u w:val="single"/>
            <w:sz w:val="16"/>
          </w:rPr>
          <w:t>https://www.garanteprivacy.it/temi/internet-e-nuove-tecnologie/eredita-digitale</w:t>
        </w:r>
      </w:hyperlink>
      <w:r>
        <w:rPr>
          <w:rFonts w:ascii="DejaVu Sans" w:hAnsi="DejaVu Sans" w:eastAsia="DejaVu Sans"/>
          <w:color w:val="1E2528"/>
          <w:sz w:val="17"/>
        </w:rPr>
        <w:t>.</w:t>
      </w:r>
    </w:p>
    <w:p>
      <w:pPr>
        <w:pStyle w:val="Heading1"/>
      </w:pPr>
      <w:r>
        <w:t>Versão e atualizações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Este arquivo conserva a versão arquivada vinculada à edição brasileira. As atualizações do site devem ser identificadas como versões posteriores e não devem apagar o estado documental utilizado pelo livro.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10"/>
      <w:footerReference w:type="even" r:id="rId111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Bibliografia pesquisável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Bibliografia pesquisável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pt/2050/recursos/" TargetMode="External"/><Relationship Id="rId14" Type="http://schemas.openxmlformats.org/officeDocument/2006/relationships/hyperlink" Target="https://doi.org/10.1093/mind/LIX.236.433" TargetMode="External"/><Relationship Id="rId15" Type="http://schemas.openxmlformats.org/officeDocument/2006/relationships/hyperlink" Target="https://jmc.stanford.edu/articles/dartmouth/dartmouth.pdf" TargetMode="External"/><Relationship Id="rId16" Type="http://schemas.openxmlformats.org/officeDocument/2006/relationships/hyperlink" Target="https://doi.org/10.1037/h0042519" TargetMode="External"/><Relationship Id="rId17" Type="http://schemas.openxmlformats.org/officeDocument/2006/relationships/hyperlink" Target="https://mitpress.mit.edu/9780262631112/perceptrons/" TargetMode="External"/><Relationship Id="rId18" Type="http://schemas.openxmlformats.org/officeDocument/2006/relationships/hyperlink" Target="https://doi.org/10.1038/323533a0" TargetMode="External"/><Relationship Id="rId19" Type="http://schemas.openxmlformats.org/officeDocument/2006/relationships/hyperlink" Target="https://www.ibm.com/history/deep-blue" TargetMode="External"/><Relationship Id="rId20" Type="http://schemas.openxmlformats.org/officeDocument/2006/relationships/hyperlink" Target="https://papers.nips.cc/paper/4824-imagenet-classification-with-deep-convolutional-neural-networks" TargetMode="External"/><Relationship Id="rId21" Type="http://schemas.openxmlformats.org/officeDocument/2006/relationships/hyperlink" Target="https://arxiv.org/abs/1706.03762" TargetMode="External"/><Relationship Id="rId22" Type="http://schemas.openxmlformats.org/officeDocument/2006/relationships/hyperlink" Target="https://doi.org/10.1145/365153.365168" TargetMode="External"/><Relationship Id="rId23" Type="http://schemas.openxmlformats.org/officeDocument/2006/relationships/hyperlink" Target="https://openai.com/index/chatgpt/" TargetMode="External"/><Relationship Id="rId24" Type="http://schemas.openxmlformats.org/officeDocument/2006/relationships/hyperlink" Target="https://www.darpa.mil/news/features/arpanet" TargetMode="External"/><Relationship Id="rId25" Type="http://schemas.openxmlformats.org/officeDocument/2006/relationships/hyperlink" Target="https://www.internetsociety.org/news/press-releases/2013/new-years-day-marks-30th-anniversary-of-major-milestone-for-global-internet/" TargetMode="External"/><Relationship Id="rId26" Type="http://schemas.openxmlformats.org/officeDocument/2006/relationships/hyperlink" Target="https://home.cern/science/computing/the-birth-of-the-web/short-history-web/" TargetMode="External"/><Relationship Id="rId27" Type="http://schemas.openxmlformats.org/officeDocument/2006/relationships/hyperlink" Target="https://home.cern/open-internet-and-web/" TargetMode="External"/><Relationship Id="rId28" Type="http://schemas.openxmlformats.org/officeDocument/2006/relationships/hyperlink" Target="https://www.w3.org/TR/vc-data-model-2.0/" TargetMode="External"/><Relationship Id="rId29" Type="http://schemas.openxmlformats.org/officeDocument/2006/relationships/hyperlink" Target="https://www.w3.org/TR/vc-data-integrity/" TargetMode="External"/><Relationship Id="rId30" Type="http://schemas.openxmlformats.org/officeDocument/2006/relationships/hyperlink" Target="https://www.w3.org/TR/vc-jose-cose/" TargetMode="External"/><Relationship Id="rId31" Type="http://schemas.openxmlformats.org/officeDocument/2006/relationships/hyperlink" Target="https://openid.net/specs/openid-4-verifiable-credential-issuance-1_0.html" TargetMode="External"/><Relationship Id="rId32" Type="http://schemas.openxmlformats.org/officeDocument/2006/relationships/hyperlink" Target="https://openid.net/specs/openid-4-verifiable-presentations-1_0.html" TargetMode="External"/><Relationship Id="rId33" Type="http://schemas.openxmlformats.org/officeDocument/2006/relationships/hyperlink" Target="https://doi.org/10.6028/NIST.SP.800-63-4" TargetMode="External"/><Relationship Id="rId34" Type="http://schemas.openxmlformats.org/officeDocument/2006/relationships/hyperlink" Target="https://doi.org/10.6028/NIST.IR.8202" TargetMode="External"/><Relationship Id="rId35" Type="http://schemas.openxmlformats.org/officeDocument/2006/relationships/hyperlink" Target="https://www.who.int/publications/i/item/9789240029200" TargetMode="External"/><Relationship Id="rId36" Type="http://schemas.openxmlformats.org/officeDocument/2006/relationships/hyperlink" Target="https://www.who.int/publications/i/item/9789240078871" TargetMode="External"/><Relationship Id="rId37" Type="http://schemas.openxmlformats.org/officeDocument/2006/relationships/hyperlink" Target="https://www.who.int/publications/i/item/9789240084759" TargetMode="External"/><Relationship Id="rId38" Type="http://schemas.openxmlformats.org/officeDocument/2006/relationships/hyperlink" Target="https://www.who.int/publications/b/70584" TargetMode="External"/><Relationship Id="rId39" Type="http://schemas.openxmlformats.org/officeDocument/2006/relationships/hyperlink" Target="https://www.who.int/europe/publications/i/item/WHO-EURO-2026-12707-52481-81471" TargetMode="External"/><Relationship Id="rId40" Type="http://schemas.openxmlformats.org/officeDocument/2006/relationships/hyperlink" Target="https://www.who.int/publications/i/item/B09667" TargetMode="External"/><Relationship Id="rId41" Type="http://schemas.openxmlformats.org/officeDocument/2006/relationships/hyperlink" Target="https://health.ec.europa.eu/document/download/b45335c5-1679-4c71-a91c-fc7a4d37f12b_en" TargetMode="External"/><Relationship Id="rId42" Type="http://schemas.openxmlformats.org/officeDocument/2006/relationships/hyperlink" Target="https://health.ec.europa.eu/document/download/b78a17d7-e3cd-4943-851d-e02a2f22bbb4_en" TargetMode="External"/><Relationship Id="rId43" Type="http://schemas.openxmlformats.org/officeDocument/2006/relationships/hyperlink" Target="https://www.who.int/news-room/fact-sheets/detail/adolescent-mental-health" TargetMode="External"/><Relationship Id="rId44" Type="http://schemas.openxmlformats.org/officeDocument/2006/relationships/hyperlink" Target="https://www.who.int/groups/commission-on-social-connection/report" TargetMode="External"/><Relationship Id="rId45" Type="http://schemas.openxmlformats.org/officeDocument/2006/relationships/hyperlink" Target="https://www.unicef.org/innocenti/reports/policy-guidance-ai-children" TargetMode="External"/><Relationship Id="rId46" Type="http://schemas.openxmlformats.org/officeDocument/2006/relationships/hyperlink" Target="https://www.unicef.org/documents/when-ai-becomes-friend-child-rights-risks" TargetMode="External"/><Relationship Id="rId47" Type="http://schemas.openxmlformats.org/officeDocument/2006/relationships/hyperlink" Target="https://www.ftc.gov/news-events/news/press-releases/2025/09/ftc-launches-inquiry-ai-chatbots-acting-companions" TargetMode="External"/><Relationship Id="rId48" Type="http://schemas.openxmlformats.org/officeDocument/2006/relationships/hyperlink" Target="https://www.unesco.org/en/articles/guidance-generative-ai-education-and-research" TargetMode="External"/><Relationship Id="rId49" Type="http://schemas.openxmlformats.org/officeDocument/2006/relationships/hyperlink" Target="https://doi.org/10.54394/HETP0387" TargetMode="External"/><Relationship Id="rId50" Type="http://schemas.openxmlformats.org/officeDocument/2006/relationships/hyperlink" Target="https://doi.org/10.1038/s41562-018-0335-2" TargetMode="External"/><Relationship Id="rId51" Type="http://schemas.openxmlformats.org/officeDocument/2006/relationships/hyperlink" Target="https://unctad.org/publication/technology-and-innovation-report-2025" TargetMode="External"/><Relationship Id="rId52" Type="http://schemas.openxmlformats.org/officeDocument/2006/relationships/hyperlink" Target="https://www.iea.org/reports/energy-and-ai" TargetMode="External"/><Relationship Id="rId53" Type="http://schemas.openxmlformats.org/officeDocument/2006/relationships/hyperlink" Target="https://eta.lbl.gov/publications/2024-lbnl-data-center-energy-usage-report" TargetMode="External"/><Relationship Id="rId54" Type="http://schemas.openxmlformats.org/officeDocument/2006/relationships/hyperlink" Target="https://www.usgs.gov/mission-areas/water-resources/science/water-use-terminology" TargetMode="External"/><Relationship Id="rId55" Type="http://schemas.openxmlformats.org/officeDocument/2006/relationships/hyperlink" Target="https://www.iso.org/standard/37456.html" TargetMode="External"/><Relationship Id="rId56" Type="http://schemas.openxmlformats.org/officeDocument/2006/relationships/hyperlink" Target="https://www.iso.org/standard/38498.html" TargetMode="External"/><Relationship Id="rId57" Type="http://schemas.openxmlformats.org/officeDocument/2006/relationships/hyperlink" Target="https://doi.org/10.3133/mcs2026" TargetMode="External"/><Relationship Id="rId58" Type="http://schemas.openxmlformats.org/officeDocument/2006/relationships/hyperlink" Target="https://www.iea.org/reports/global-critical-minerals-outlook-2025" TargetMode="External"/><Relationship Id="rId59" Type="http://schemas.openxmlformats.org/officeDocument/2006/relationships/hyperlink" Target="https://www.itu.int/hub/publication/d-gen-e_waste-01-2024/" TargetMode="External"/><Relationship Id="rId60" Type="http://schemas.openxmlformats.org/officeDocument/2006/relationships/hyperlink" Target="https://www.starcloud.com/starcloud-1" TargetMode="External"/><Relationship Id="rId61" Type="http://schemas.openxmlformats.org/officeDocument/2006/relationships/hyperlink" Target="https://www.axiomspace.com/orbital-data-center" TargetMode="External"/><Relationship Id="rId62" Type="http://schemas.openxmlformats.org/officeDocument/2006/relationships/hyperlink" Target="https://research.google/blog/exploring-a-space-based-scalable-ai-infrastructure-system-design/" TargetMode="External"/><Relationship Id="rId63" Type="http://schemas.openxmlformats.org/officeDocument/2006/relationships/hyperlink" Target="https://cordis.europa.eu/project/id/101082517" TargetMode="External"/><Relationship Id="rId64" Type="http://schemas.openxmlformats.org/officeDocument/2006/relationships/hyperlink" Target="https://cordis.europa.eu/project/id/101082517/reporting" TargetMode="External"/><Relationship Id="rId65" Type="http://schemas.openxmlformats.org/officeDocument/2006/relationships/hyperlink" Target="https://arxiv.org/abs/2604.27197" TargetMode="External"/><Relationship Id="rId66" Type="http://schemas.openxmlformats.org/officeDocument/2006/relationships/hyperlink" Target="https://doi.org/10.48550/arXiv.2604.27197" TargetMode="External"/><Relationship Id="rId67" Type="http://schemas.openxmlformats.org/officeDocument/2006/relationships/hyperlink" Target="https://www.mdpi.com/2076-3417/16/11/5247" TargetMode="External"/><Relationship Id="rId68" Type="http://schemas.openxmlformats.org/officeDocument/2006/relationships/hyperlink" Target="https://doi.org/10.3390/app16115247" TargetMode="External"/><Relationship Id="rId69" Type="http://schemas.openxmlformats.org/officeDocument/2006/relationships/hyperlink" Target="https://onlinelibrary.wiley.com/doi/10.1002/ieam.4722" TargetMode="External"/><Relationship Id="rId70" Type="http://schemas.openxmlformats.org/officeDocument/2006/relationships/hyperlink" Target="https://doi.org/10.1002/ieam.4722" TargetMode="External"/><Relationship Id="rId71" Type="http://schemas.openxmlformats.org/officeDocument/2006/relationships/hyperlink" Target="https://repository.library.noaa.gov/view/noaa/58476" TargetMode="External"/><Relationship Id="rId72" Type="http://schemas.openxmlformats.org/officeDocument/2006/relationships/hyperlink" Target="https://doi.org/10.1073/pnas.2313374120" TargetMode="External"/><Relationship Id="rId73" Type="http://schemas.openxmlformats.org/officeDocument/2006/relationships/hyperlink" Target="https://kpa.co.ke/Ports/PortOfMombasa" TargetMode="External"/><Relationship Id="rId74" Type="http://schemas.openxmlformats.org/officeDocument/2006/relationships/hyperlink" Target="https://www.ttcanc.org/node/70" TargetMode="External"/><Relationship Id="rId75" Type="http://schemas.openxmlformats.org/officeDocument/2006/relationships/hyperlink" Target="https://www.nist.gov/chips/vision-success-facilities-semiconductor-materials-and-manufacturing-equipment" TargetMode="External"/><Relationship Id="rId76" Type="http://schemas.openxmlformats.org/officeDocument/2006/relationships/hyperlink" Target="https://www.gao.gov/products/gao-22-105923" TargetMode="External"/><Relationship Id="rId77" Type="http://schemas.openxmlformats.org/officeDocument/2006/relationships/hyperlink" Target="https://digital-strategy.ec.europa.eu/en/policies/european-chips-act" TargetMode="External"/><Relationship Id="rId78" Type="http://schemas.openxmlformats.org/officeDocument/2006/relationships/hyperlink" Target="https://digital-strategy.ec.europa.eu/en/library/proposal-chips-act-20" TargetMode="External"/><Relationship Id="rId79" Type="http://schemas.openxmlformats.org/officeDocument/2006/relationships/hyperlink" Target="https://www.federalregister.gov/documents/2026/01/15/2026-00789/revision-to-license-review-policy-for-advanced-computing-commodities" TargetMode="External"/><Relationship Id="rId80" Type="http://schemas.openxmlformats.org/officeDocument/2006/relationships/hyperlink" Target="https://www.bis.gov/regulations/federal-register-notices" TargetMode="External"/><Relationship Id="rId81" Type="http://schemas.openxmlformats.org/officeDocument/2006/relationships/hyperlink" Target="https://www.bis.gov/regulations/ear/744" TargetMode="External"/><Relationship Id="rId82" Type="http://schemas.openxmlformats.org/officeDocument/2006/relationships/hyperlink" Target="https://www.bis.gov/regulations/ear/748" TargetMode="External"/><Relationship Id="rId83" Type="http://schemas.openxmlformats.org/officeDocument/2006/relationships/hyperlink" Target="https://www.itu.int/hub/publication/s-iab-wg-2026/" TargetMode="External"/><Relationship Id="rId84" Type="http://schemas.openxmlformats.org/officeDocument/2006/relationships/hyperlink" Target="https://www.gov.uk/cma-cases/cloud-services-market-investigation" TargetMode="External"/><Relationship Id="rId85" Type="http://schemas.openxmlformats.org/officeDocument/2006/relationships/hyperlink" Target="https://www.gov.uk/government/publications/business-software-and-cloud-services" TargetMode="External"/><Relationship Id="rId86" Type="http://schemas.openxmlformats.org/officeDocument/2006/relationships/hyperlink" Target="https://www.enisa.europa.eu/publications/enisa-threat-landscape-2025" TargetMode="External"/><Relationship Id="rId87" Type="http://schemas.openxmlformats.org/officeDocument/2006/relationships/hyperlink" Target="https://www.enisa.europa.eu/publications/enisas-view-on-cybersecurity-in-the-frontier-ai-era" TargetMode="External"/><Relationship Id="rId88" Type="http://schemas.openxmlformats.org/officeDocument/2006/relationships/hyperlink" Target="https://digitallibrary.un.org/record/3908015" TargetMode="External"/><Relationship Id="rId89" Type="http://schemas.openxmlformats.org/officeDocument/2006/relationships/hyperlink" Target="https://www.californialawreview.org/print/deep-fakes-a-looming-challenge-for-privacy-democracy-and-national-security" TargetMode="External"/><Relationship Id="rId90" Type="http://schemas.openxmlformats.org/officeDocument/2006/relationships/hyperlink" Target="https://eur-lex.europa.eu/eli/reg/2024/1689/oj/eng" TargetMode="External"/><Relationship Id="rId91" Type="http://schemas.openxmlformats.org/officeDocument/2006/relationships/hyperlink" Target="https://ai-act-service-desk.ec.europa.eu/en/ai-act/article-50" TargetMode="External"/><Relationship Id="rId92" Type="http://schemas.openxmlformats.org/officeDocument/2006/relationships/hyperlink" Target="https://ai-act-service-desk.ec.europa.eu/en/ai-act/article-53" TargetMode="External"/><Relationship Id="rId93" Type="http://schemas.openxmlformats.org/officeDocument/2006/relationships/hyperlink" Target="https://eur-lex.europa.eu/eli/reg/2016/679/oj/eng" TargetMode="External"/><Relationship Id="rId94" Type="http://schemas.openxmlformats.org/officeDocument/2006/relationships/hyperlink" Target="https://www.edpb.europa.eu/documents/guideline/automated-decision-making-and-profiling_en" TargetMode="External"/><Relationship Id="rId95" Type="http://schemas.openxmlformats.org/officeDocument/2006/relationships/hyperlink" Target="https://infocuria.curia.europa.eu/tabs/redirect/juris/document/document.jsf?docid=280426&amp;doclang=en" TargetMode="External"/><Relationship Id="rId96" Type="http://schemas.openxmlformats.org/officeDocument/2006/relationships/hyperlink" Target="https://eur-lex.europa.eu/eli/reg/2024/1183/oj/eng" TargetMode="External"/><Relationship Id="rId97" Type="http://schemas.openxmlformats.org/officeDocument/2006/relationships/hyperlink" Target="https://digital-strategy.ec.europa.eu/en/policies/eudi-wallet-implementation" TargetMode="External"/><Relationship Id="rId98" Type="http://schemas.openxmlformats.org/officeDocument/2006/relationships/hyperlink" Target="https://github.com/eu-digital-identity-wallet/eudi-doc-architecture-and-reference-framework/releases/tag/v2.9.0" TargetMode="External"/><Relationship Id="rId99" Type="http://schemas.openxmlformats.org/officeDocument/2006/relationships/hyperlink" Target="https://eur-lex.europa.eu/eli/reg/2022/2065/oj/eng" TargetMode="External"/><Relationship Id="rId100" Type="http://schemas.openxmlformats.org/officeDocument/2006/relationships/hyperlink" Target="https://ai-act-service-desk.ec.europa.eu/en/ai-act/article-5" TargetMode="External"/><Relationship Id="rId101" Type="http://schemas.openxmlformats.org/officeDocument/2006/relationships/hyperlink" Target="https://eur-lex.europa.eu/eli/dir/2024/2831/oj/eng" TargetMode="External"/><Relationship Id="rId102" Type="http://schemas.openxmlformats.org/officeDocument/2006/relationships/hyperlink" Target="https://eur-lex.europa.eu/eli/dir/2019/790/oj/eng" TargetMode="External"/><Relationship Id="rId103" Type="http://schemas.openxmlformats.org/officeDocument/2006/relationships/hyperlink" Target="https://digital-strategy.ec.europa.eu/en/news/commission-publishes-code-practice-marking-and-labelling-ai-generated-content" TargetMode="External"/><Relationship Id="rId104" Type="http://schemas.openxmlformats.org/officeDocument/2006/relationships/hyperlink" Target="https://digital-strategy.ec.europa.eu/en/library/commission-opinion-assessment-code-practice-transparency-ai-generated-content" TargetMode="External"/><Relationship Id="rId105" Type="http://schemas.openxmlformats.org/officeDocument/2006/relationships/hyperlink" Target="https://digital-strategy.ec.europa.eu/en/news/general-purpose-ai-code-practice-now-available" TargetMode="External"/><Relationship Id="rId106" Type="http://schemas.openxmlformats.org/officeDocument/2006/relationships/hyperlink" Target="https://eur-lex.europa.eu/eli/reg/2017/745/oj/eng" TargetMode="External"/><Relationship Id="rId107" Type="http://schemas.openxmlformats.org/officeDocument/2006/relationships/hyperlink" Target="https://eur-lex.europa.eu/eli/reg/2017/746/oj/eng" TargetMode="External"/><Relationship Id="rId108" Type="http://schemas.openxmlformats.org/officeDocument/2006/relationships/hyperlink" Target="https://www.edpb.europa.eu/system/files/2023-05/edpb_guidelines_202304_frtlawenforcement_v2_en.pdf" TargetMode="External"/><Relationship Id="rId109" Type="http://schemas.openxmlformats.org/officeDocument/2006/relationships/hyperlink" Target="https://www.garanteprivacy.it/temi/internet-e-nuove-tecnologie/eredita-digitale" TargetMode="External"/><Relationship Id="rId110" Type="http://schemas.openxmlformats.org/officeDocument/2006/relationships/header" Target="header2.xml"/><Relationship Id="rId1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Bibliografia pesquisável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