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80" w:line="270" w:lineRule="exact"/>
        <w:jc w:val="center"/>
      </w:pPr>
      <w:r>
        <w:rPr>
          <w:rFonts w:ascii="EB Garamond" w:hAnsi="EB Garamond" w:eastAsia="EB Garamond" w:cs="EB Garamond"/>
          <w:b/>
          <w:color w:val="B04A35"/>
          <w:sz w:val="21"/>
          <w:szCs w:val="21"/>
        </w:rPr>
        <w:t xml:space="preserve">CORNER ITALIANO  |  RECURSOS OFICIAIS</w:t>
      </w:r>
    </w:p>
    <w:p>
      <w:pPr>
        <w:spacing w:before="560" w:line="640" w:lineRule="exact"/>
        <w:jc w:val="center"/>
      </w:pPr>
      <w:r>
        <w:rPr>
          <w:rFonts w:ascii="EB Garamond" w:hAnsi="EB Garamond" w:eastAsia="EB Garamond" w:cs="EB Garamond"/>
          <w:b/>
          <w:color w:val="183445"/>
          <w:sz w:val="56"/>
          <w:szCs w:val="56"/>
        </w:rPr>
        <w:t xml:space="preserve">O Teste 2050</w:t>
      </w:r>
    </w:p>
    <w:p>
      <w:pPr>
        <w:jc w:val="center"/>
        <w:spacing w:line="640" w:lineRule="exact"/>
      </w:pPr>
      <w:r>
        <w:rPr>
          <w:rFonts w:ascii="EB Garamond" w:hAnsi="EB Garamond" w:eastAsia="EB Garamond" w:cs="EB Garamond"/>
          <w:b/>
          <w:color w:val="183445"/>
          <w:sz w:val="56"/>
          <w:szCs w:val="56"/>
        </w:rPr>
        <w:t xml:space="preserve">Caderno operacional</w:t>
      </w:r>
    </w:p>
    <w:p>
      <w:pPr>
        <w:spacing w:before="200" w:line="270" w:lineRule="exact"/>
        <w:jc w:val="center"/>
      </w:pPr>
      <w:r>
        <w:rPr>
          <w:rFonts w:ascii="EB Garamond" w:hAnsi="EB Garamond" w:eastAsia="EB Garamond" w:cs="EB Garamond"/>
          <w:color w:val="5A686F"/>
          <w:sz w:val="21"/>
          <w:szCs w:val="21"/>
        </w:rPr>
        <w:t xml:space="preserve">Os três vocabulários, sete perguntas, monitoramento, decisão e reexame.</w:t>
      </w:r>
    </w:p>
    <w:p>
      <w:pPr>
        <w:spacing w:before="600" w:line="270" w:lineRule="exact"/>
        <w:jc w:val="center"/>
      </w:pPr>
      <w:r>
        <w:rPr>
          <w:rFonts w:ascii="EB Garamond" w:hAnsi="EB Garamond" w:eastAsia="EB Garamond" w:cs="EB Garamond"/>
          <w:color w:val="183445"/>
          <w:sz w:val="21"/>
          <w:szCs w:val="21"/>
        </w:rPr>
        <w:t xml:space="preserve">Alinhado ao miolo revisado em inglês · Retrato documental de julho de 2026 · Versão dos recursos PT-BR-R2.3</w:t>
      </w:r>
    </w:p>
    <w:p>
      <w:pPr>
        <w:spacing w:before="520" w:line="270" w:lineRule="exact"/>
        <w:jc w:val="center"/>
      </w:pPr>
      <w:hyperlink r:id="rId12">
        <w:r>
          <w:rPr>
            <w:rFonts w:ascii="EB Garamond" w:hAnsi="EB Garamond" w:eastAsia="EB Garamond" w:cs="EB Garamond"/>
            <w:color w:val="183445"/>
            <w:u w:val="single"/>
            <w:sz w:val="21"/>
            <w:szCs w:val="21"/>
          </w:rPr>
          <w:t>https://www.corneritaliano.com/pt-br/2050/recursos/</w:t>
        </w:r>
      </w:hyperlink>
    </w:p>
    <w:p>
      <w:pPr>
        <w:spacing w:before="800" w:line="270" w:lineRule="exact"/>
        <w:jc w:val="center"/>
      </w:pPr>
      <w:r>
        <w:rPr>
          <w:rFonts w:ascii="EB Garamond" w:hAnsi="EB Garamond" w:eastAsia="EB Garamond" w:cs="EB Garamond"/>
          <w:i/>
          <w:color w:val="5A686F"/>
          <w:sz w:val="18"/>
          <w:szCs w:val="18"/>
        </w:rPr>
        <w:t xml:space="preserve">Imprima em escala de 100% em papel US Letter. Imprima e preencha à mão ou edite a versão Word. Preencha com fatos, documentos, versão e data. Os espaços em branco são intencionais e se destinam ao registro de evidências.</w:t>
      </w:r>
    </w:p>
    <w:p>
      <w:r>
        <w:br w:type="page"/>
        <w:rPr>
          <w:rFonts w:ascii="EB Garamond" w:hAnsi="EB Garamond" w:eastAsia="EB Garamond" w:cs="EB Garamond"/>
          <w:sz w:val="21"/>
          <w:szCs w:val="21"/>
        </w:rPr>
      </w:r>
      <w:pPr/>
    </w:p>
    <w:p>
      <w:pPr>
        <w:pStyle w:val="Heading1"/>
        <w:spacing w:line="460" w:lineRule="exact"/>
      </w:pPr>
      <w:r>
        <w:rPr>
          <w:rFonts w:ascii="EB Garamond" w:hAnsi="EB Garamond" w:eastAsia="EB Garamond" w:cs="EB Garamond"/>
          <w:sz w:val="40"/>
          <w:szCs w:val="40"/>
          <w:color w:val="183445"/>
        </w:rPr>
        <w:t xml:space="preserve">Mapa dos três vocabulários</w:t>
      </w:r>
    </w:p>
    <w:p>
      <w:pPr>
        <w:keepLines w:val="0"/>
        <w:spacing w:line="270" w:lineRule="exact"/>
      </w:pPr>
      <w:r>
        <w:rPr>
          <w:rFonts w:ascii="EB Garamond" w:hAnsi="EB Garamond" w:eastAsia="EB Garamond" w:cs="EB Garamond"/>
          <w:color w:val="1F2D33"/>
          <w:sz w:val="18"/>
          <w:szCs w:val="18"/>
        </w:rPr>
        <w:t xml:space="preserve">A modalidade identifica o poder exercido por um sistema. Cada pergunta recebe um estado da resposta, enquanto a decisão organizacional registra o que está autorizado em seu conjunto. Não some esses vocabulários nem converta automaticamente um no outro.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1738"/>
        <w:gridCol w:w="5214"/>
        <w:gridCol w:w="3272"/>
      </w:tblGrid>
      <w:tr>
        <w:trPr>
          <w:tblHeader w:val="true"/>
          <w:cantSplit/>
        </w:trPr>
        <w:tc>
          <w:tcPr>
            <w:tcW w:type="dxa" w:w="173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Plano</w:t>
            </w:r>
          </w:p>
        </w:tc>
        <w:tc>
          <w:tcPr>
            <w:tcW w:type="dxa" w:w="521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Vocabulário e significado</w:t>
            </w:r>
          </w:p>
        </w:tc>
        <w:tc>
          <w:tcPr>
            <w:tcW w:type="dxa" w:w="3272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Regra de uso</w:t>
            </w:r>
          </w:p>
        </w:tc>
      </w:tr>
      <w:tr>
        <w:trPr>
          <w:cantSplit/>
        </w:trPr>
        <w:tc>
          <w:tcPr>
            <w:tcW w:type="dxa" w:w="173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Modalidade do sistema</w:t>
            </w:r>
          </w:p>
        </w:tc>
        <w:tc>
          <w:tcPr>
            <w:tcW w:type="dxa" w:w="521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Auxilia — prepara, organiza ou torna visíveis os elementos sem escolher o resultado. Propõe — recomenda uma opção que uma pessoa competente pode modificar ou rejeitar. Decide — seleciona um resultado dentro do mandato. Executa — produz um efeito sobre o serviço, no mundo ou sobre os direitos.</w:t>
            </w:r>
          </w:p>
        </w:tc>
        <w:tc>
          <w:tcPr>
            <w:tcW w:type="dxa" w:w="3272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Descreve o poder exercido em determinada tarefa e etapa. Pode mudar dentro do mesmo sistema.</w:t>
            </w:r>
          </w:p>
        </w:tc>
      </w:tr>
      <w:tr>
        <w:trPr>
          <w:cantSplit/>
        </w:trPr>
        <w:tc>
          <w:tcPr>
            <w:tcW w:type="dxa" w:w="173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Estado da resposta</w:t>
            </w:r>
          </w:p>
        </w:tc>
        <w:tc>
          <w:tcPr>
            <w:tcW w:type="dxa" w:w="521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Suficiente — sustenta uma decisão apenas para a versão, a data e o perímetro definidos por escrito. Não resolvida — exige evidência, uma pessoa responsável e um prazo. Bloqueante — impede a delegação ou exige restringir ou interromper o uso até que a condição mude.</w:t>
            </w:r>
          </w:p>
        </w:tc>
        <w:tc>
          <w:tcPr>
            <w:tcW w:type="dxa" w:w="3272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O estado qualifica cada uma das sete respostas.</w:t>
            </w:r>
          </w:p>
        </w:tc>
      </w:tr>
      <w:tr>
        <w:trPr>
          <w:cantSplit/>
        </w:trPr>
        <w:tc>
          <w:tcPr>
            <w:tcW w:type="dxa" w:w="173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Decisão organizacional</w:t>
            </w:r>
          </w:p>
        </w:tc>
        <w:tc>
          <w:tcPr>
            <w:tcW w:type="dxa" w:w="521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Prosseguir — autorizar o perímetro definido por escrito. Limitar e testar — autorizar um teste delimitado, reversível e que possa ser interrompido. Não delegar — não confiar esse poder no contexto atual; documentar a alternativa e seu custo e agendar um reexame. Interromper — encerrar uma autorização já em vigor.</w:t>
            </w:r>
          </w:p>
        </w:tc>
        <w:tc>
          <w:tcPr>
            <w:tcW w:type="dxa" w:w="3272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Registra a escolha em seu conjunto. Não decorre automaticamente da modalidade nem do número de perguntas cuja resposta é Suficiente.</w:t>
            </w:r>
          </w:p>
        </w:tc>
      </w:tr>
    </w:tbl>
    <w:p>
      <w:pPr>
        <w:spacing w:after="0"/>
      </w:pPr>
    </w:p>
    <w:p>
      <w:pPr>
        <w:pStyle w:val="Heading1"/>
        <w:spacing w:line="460" w:lineRule="exact"/>
      </w:pPr>
      <w:r>
        <w:rPr>
          <w:rFonts w:ascii="EB Garamond" w:hAnsi="EB Garamond" w:eastAsia="EB Garamond" w:cs="EB Garamond"/>
          <w:sz w:val="40"/>
          <w:szCs w:val="40"/>
          <w:color w:val="183445"/>
        </w:rPr>
        <w:t xml:space="preserve">Do Teste à decisão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2454"/>
        <w:gridCol w:w="7770"/>
      </w:tblGrid>
      <w:tr>
        <w:trPr>
          <w:tblHeader w:val="true"/>
          <w:cantSplit/>
        </w:trPr>
        <w:tc>
          <w:tcPr>
            <w:tcW w:type="dxa" w:w="245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Etapa</w:t>
            </w:r>
          </w:p>
        </w:tc>
        <w:tc>
          <w:tcPr>
            <w:tcW w:type="dxa" w:w="7770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O que deve permanecer observável</w:t>
            </w:r>
          </w:p>
        </w:tc>
      </w:tr>
      <w:tr>
        <w:trPr>
          <w:cantSplit/>
        </w:trPr>
        <w:tc>
          <w:tcPr>
            <w:tcW w:type="dxa" w:w="245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1. Teste</w:t>
            </w:r>
          </w:p>
        </w:tc>
        <w:tc>
          <w:tcPr>
            <w:tcW w:type="dxa" w:w="7770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Finalidade, Mandato, Evidência, Distribuição, Dano, Recurso e Saída; evidências e condições que não podem ser compensadas.</w:t>
            </w:r>
          </w:p>
        </w:tc>
      </w:tr>
      <w:tr>
        <w:trPr>
          <w:cantSplit/>
        </w:trPr>
        <w:tc>
          <w:tcPr>
            <w:tcW w:type="dxa" w:w="245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2. Mandato</w:t>
            </w:r>
          </w:p>
        </w:tc>
        <w:tc>
          <w:tcPr>
            <w:tcW w:type="dxa" w:w="7770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Tarefas, modalidades, dados, pessoas, locais, duração, volume, registros, proibições, limiares e autoridade para interromper.</w:t>
            </w:r>
          </w:p>
        </w:tc>
      </w:tr>
      <w:tr>
        <w:trPr>
          <w:cantSplit/>
        </w:trPr>
        <w:tc>
          <w:tcPr>
            <w:tcW w:type="dxa" w:w="245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3. Monitoramento do ciclo de vida</w:t>
            </w:r>
          </w:p>
        </w:tc>
        <w:tc>
          <w:tcPr>
            <w:tcW w:type="dxa" w:w="7770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Versão, benefícios, exceções, carga de supervisão, incidentes, pedidos de recurso, competência residual e teste de saída.</w:t>
            </w:r>
          </w:p>
        </w:tc>
      </w:tr>
      <w:tr>
        <w:trPr>
          <w:cantSplit/>
        </w:trPr>
        <w:tc>
          <w:tcPr>
            <w:tcW w:type="dxa" w:w="245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4. Limitar, sair ou interromper</w:t>
            </w:r>
          </w:p>
        </w:tc>
        <w:tc>
          <w:tcPr>
            <w:tcW w:type="dxa" w:w="7770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Restringir o mandato, passar para o modo degradado, substituir o sistema ou interromper seu uso quando as condições já não se sustentarem.</w:t>
            </w:r>
          </w:p>
        </w:tc>
      </w:tr>
    </w:tbl>
    <w:p>
      <w:pPr>
        <w:spacing w:after="0"/>
      </w:pP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w="150" w:type="dxa"/>
        <w:tblBorders>
          <w:top w:val="single" w:sz="7" w:space="0" w:color="B54B2A"/>
          <w:left w:val="single" w:sz="7" w:space="0" w:color="B54B2A"/>
          <w:bottom w:val="single" w:sz="7" w:space="0" w:color="B54B2A"/>
          <w:right w:val="single" w:sz="7" w:space="0" w:color="B54B2A"/>
          <w:insideH w:val="single" w:sz="7" w:space="0" w:color="B54B2A"/>
          <w:insideV w:val="single" w:sz="7" w:space="0" w:color="B54B2A"/>
        </w:tblBorders>
      </w:tblPr>
      <w:tblGrid>
        <w:gridCol w:w="10224"/>
      </w:tblGrid>
      <w:tr>
        <w:trPr>
          <w:cantSplit/>
        </w:trPr>
        <w:tc>
          <w:tcPr>
            <w:tcW w:type="dxa" w:w="10224"/>
            <w:shd w:fill="F7E7E0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40" w:line="210" w:lineRule="exact"/>
            </w:pPr>
            <w:r>
              <w:rPr>
                <w:rFonts w:ascii="EB Garamond" w:hAnsi="EB Garamond" w:eastAsia="EB Garamond" w:cs="EB Garamond"/>
                <w:color w:val="1F2D33"/>
                <w:sz w:val="17"/>
                <w:szCs w:val="17"/>
              </w:rPr>
              <w:t xml:space="preserve">LEMBRE-SE  Auxilia não significa Prosseguir, e Suficiente não significa uma avaliação favorável. Reabra o Teste quando mudarem modelo, dados, fornecedor, escala, tarefa ou responsáveis.</w:t>
            </w:r>
          </w:p>
        </w:tc>
      </w:tr>
    </w:tbl>
    <w:p>
      <w:pPr>
        <w:spacing w:after="0"/>
      </w:pPr>
    </w:p>
    <w:p>
      <w:r>
        <w:br w:type="page"/>
        <w:rPr>
          <w:rFonts w:ascii="EB Garamond" w:hAnsi="EB Garamond" w:eastAsia="EB Garamond" w:cs="EB Garamond"/>
          <w:sz w:val="21"/>
          <w:szCs w:val="21"/>
        </w:rPr>
      </w:r>
      <w:pPr/>
    </w:p>
    <w:p>
      <w:pPr>
        <w:pStyle w:val="Heading1"/>
        <w:spacing w:line="460" w:lineRule="exact"/>
        <w:pageBreakBefore w:val="1"/>
      </w:pPr>
      <w:r>
        <w:rPr>
          <w:rFonts w:ascii="EB Garamond" w:hAnsi="EB Garamond" w:eastAsia="EB Garamond" w:cs="EB Garamond"/>
          <w:sz w:val="40"/>
          <w:szCs w:val="40"/>
          <w:color w:val="183445"/>
        </w:rPr>
        <w:t xml:space="preserve">Quando uma resposta é Suficiente e quando é Bloqueante</w:t>
      </w:r>
    </w:p>
    <w:p>
      <w:pPr>
        <w:keepLines w:val="0"/>
        <w:spacing w:line="270" w:lineRule="exact" w:after="120"/>
      </w:pPr>
      <w:r>
        <w:rPr>
          <w:rFonts w:ascii="EB Garamond" w:hAnsi="EB Garamond" w:eastAsia="EB Garamond" w:cs="EB Garamond"/>
          <w:color w:val="1F2D33"/>
          <w:sz w:val="18"/>
          <w:szCs w:val="18"/>
          <w:b w:val="0"/>
          <w:bCs w:val="0"/>
          <w:i w:val="0"/>
          <w:iCs w:val="0"/>
        </w:rPr>
        <w:t xml:space="preserve">Finalidade — Suficiente quando a necessidade é observável, os beneficiários são identificados, existe um critério de melhoria por escrito e foram comparados a alternativa menos invasiva e o custo de não intervir. Bloqueante quando o único objetivo declarado é “usar IA” ou uma economia cujo custo recai sobre pessoas que não podem contestar.</w:t>
      </w:r>
    </w:p>
    <w:p>
      <w:pPr>
        <w:keepLines w:val="0"/>
        <w:spacing w:line="270" w:lineRule="exact" w:after="120"/>
      </w:pPr>
      <w:r>
        <w:rPr>
          <w:rFonts w:ascii="EB Garamond" w:hAnsi="EB Garamond" w:eastAsia="EB Garamond" w:cs="EB Garamond"/>
          <w:color w:val="1F2D33"/>
          <w:sz w:val="18"/>
          <w:szCs w:val="18"/>
          <w:b w:val="0"/>
          <w:bCs w:val="0"/>
          <w:i w:val="0"/>
          <w:iCs w:val="0"/>
        </w:rPr>
        <w:t xml:space="preserve">Mandato — Suficiente quando a modalidade está definida por escrito (Auxilia, Propõe, Decide, Executa), com limites, uma pessoa que responde por ela e uma via de encaminhamento a uma instância superior, e a pessoa que revisa os resultados dispõe de tempo, conhecimento especializado e autoridade para contrariá-los. Bloqueante quando um sistema rotulado como “apoio” opera como Decide ou Executa porque ninguém consegue contrariá-lo a tempo.</w:t>
      </w:r>
    </w:p>
    <w:p>
      <w:pPr>
        <w:keepLines w:val="0"/>
        <w:spacing w:line="270" w:lineRule="exact" w:after="120"/>
      </w:pPr>
      <w:r>
        <w:rPr>
          <w:rFonts w:ascii="EB Garamond" w:hAnsi="EB Garamond" w:eastAsia="EB Garamond" w:cs="EB Garamond"/>
          <w:color w:val="1F2D33"/>
          <w:sz w:val="18"/>
          <w:szCs w:val="18"/>
          <w:b w:val="0"/>
          <w:bCs w:val="0"/>
          <w:i w:val="0"/>
          <w:iCs w:val="0"/>
        </w:rPr>
        <w:t xml:space="preserve">Evidência — Suficiente quando o desempenho foi medido no contexto de uso, os limites conhecidos estão documentados e a pessoa sujeita ao resultado consegue obter uma explicação suficiente para verificá-lo e contestá-lo. Bloqueante quando o desempenho no contexto é desconhecido ou o resultado não pode ser explicado à pessoa afetada. Pode-se autorizar a observação em casos encerrados ou sintéticos, sem efeito externo, para obter essa evidência; isso não constitui delegação.</w:t>
      </w:r>
    </w:p>
    <w:p>
      <w:pPr>
        <w:keepLines w:val="0"/>
        <w:spacing w:line="270" w:lineRule="exact" w:after="120"/>
      </w:pPr>
      <w:r>
        <w:rPr>
          <w:rFonts w:ascii="EB Garamond" w:hAnsi="EB Garamond" w:eastAsia="EB Garamond" w:cs="EB Garamond"/>
          <w:color w:val="1F2D33"/>
          <w:sz w:val="18"/>
          <w:szCs w:val="18"/>
          <w:b w:val="0"/>
          <w:bCs w:val="0"/>
          <w:i w:val="0"/>
          <w:iCs w:val="0"/>
        </w:rPr>
        <w:t xml:space="preserve">Distribuição — Suficiente quando o levantamento mostra quem ganha e quem paga em tempo, trabalho, risco e poder, incluindo quem é excluído ou pouco representado, e contabiliza o custo da governança. Bloqueante quando o ganho fica com a organização e o risco é transferido aos menos protegidos, sem compensação nem possibilidade de contestação.</w:t>
      </w:r>
    </w:p>
    <w:p>
      <w:pPr>
        <w:keepLines w:val="0"/>
        <w:spacing w:line="270" w:lineRule="exact" w:after="120"/>
      </w:pPr>
      <w:r>
        <w:rPr>
          <w:rFonts w:ascii="EB Garamond" w:hAnsi="EB Garamond" w:eastAsia="EB Garamond" w:cs="EB Garamond"/>
          <w:color w:val="1F2D33"/>
          <w:sz w:val="18"/>
          <w:szCs w:val="18"/>
          <w:b w:val="0"/>
          <w:bCs w:val="0"/>
          <w:i w:val="0"/>
          <w:iCs w:val="0"/>
        </w:rPr>
        <w:t xml:space="preserve">Dano — Suficiente quando as falhas plausíveis são relacionadas com gravidade, alcance, reversibilidade e tempo até o dano, e o alerta, a interrupção e a contenção antecedem o dano. Bloqueante quando o sistema age mais rapidamente do que as pessoas conseguem compreendê-lo ou interrompê-lo, ou quando uma falha plausível não poderia ser contida dentro do perímetro autorizado antes de se tornar irreversível para a pessoa afetada.</w:t>
      </w:r>
    </w:p>
    <w:p>
      <w:pPr>
        <w:keepLines w:val="0"/>
        <w:spacing w:line="270" w:lineRule="exact" w:after="120"/>
      </w:pPr>
      <w:r>
        <w:rPr>
          <w:rFonts w:ascii="EB Garamond" w:hAnsi="EB Garamond" w:eastAsia="EB Garamond" w:cs="EB Garamond"/>
          <w:color w:val="1F2D33"/>
          <w:sz w:val="18"/>
          <w:szCs w:val="18"/>
          <w:b w:val="0"/>
          <w:bCs w:val="0"/>
          <w:i w:val="0"/>
          <w:iCs w:val="0"/>
        </w:rPr>
        <w:t xml:space="preserve">Recurso — Suficiente quando a pessoa é informada de que houve participação de um sistema e do que ocorreu, obtém as razões, alcança, dentro de um prazo definido, um revisor competente com autoridade para alterar o resultado, e as correções chegam aos dados ou procedimentos de origem. Bloqueante quando a revisão é automatizada, apenas repete o resultado ou não tem autoridade para alterá-lo.</w:t>
      </w:r>
    </w:p>
    <w:p>
      <w:pPr>
        <w:keepLines w:val="0"/>
        <w:spacing w:line="270" w:lineRule="exact" w:after="120"/>
      </w:pPr>
      <w:r>
        <w:rPr>
          <w:rFonts w:ascii="EB Garamond" w:hAnsi="EB Garamond" w:eastAsia="EB Garamond" w:cs="EB Garamond"/>
          <w:color w:val="1F2D33"/>
          <w:sz w:val="18"/>
          <w:szCs w:val="18"/>
          <w:b w:val="0"/>
          <w:bCs w:val="0"/>
          <w:i w:val="0"/>
          <w:iCs w:val="0"/>
        </w:rPr>
        <w:t xml:space="preserve">Saída — Suficiente quando é possível interromper, reverter, mudar de fornecedor ou escolher uma alternativa, existem portabilidade e interoperabilidade e o plano de saída é testado segundo um cronograma. Bloqueante quando recusar significa perder emprego, atendimento de saúde, educação ou um serviço essencial sem uma alternativa proporcional.</w:t>
      </w:r>
    </w:p>
    <w:p>
      <w:pPr>
        <w:keepLines w:val="0"/>
        <w:spacing w:line="270" w:lineRule="exact"/>
      </w:pPr>
      <w:r>
        <w:rPr>
          <w:rFonts w:ascii="EB Garamond" w:hAnsi="EB Garamond" w:eastAsia="EB Garamond" w:cs="EB Garamond"/>
          <w:color w:val="1F2D33"/>
          <w:sz w:val="18"/>
          <w:szCs w:val="18"/>
        </w:rPr>
        <w:t xml:space="preserve">Não resolvida é tudo o que fica entre as duas situações: a resposta existe, mas falta uma parte, e essa parte tem uma pessoa responsável e um prazo.</w:t>
      </w:r>
    </w:p>
    <w:p>
      <w:pPr>
        <w:pStyle w:val="Heading1"/>
        <w:spacing w:line="460" w:lineRule="exact"/>
      </w:pPr>
      <w:r>
        <w:rPr>
          <w:rFonts w:ascii="EB Garamond" w:hAnsi="EB Garamond" w:eastAsia="EB Garamond" w:cs="EB Garamond"/>
          <w:sz w:val="40"/>
          <w:szCs w:val="40"/>
          <w:color w:val="183445"/>
        </w:rPr>
        <w:t xml:space="preserve">A regra de decisão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1738"/>
        <w:gridCol w:w="4243"/>
        <w:gridCol w:w="4243"/>
      </w:tblGrid>
      <w:tr>
        <w:trPr>
          <w:tblHeader w:val="true"/>
          <w:cantSplit/>
        </w:trPr>
        <w:tc>
          <w:tcPr>
            <w:tcW w:type="dxa" w:w="173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1"/>
                <w:color w:val="FFFFFF"/>
                <w:sz w:val="17"/>
                <w:szCs w:val="17"/>
                <w:bCs w:val="1"/>
                <w:i w:val="0"/>
                <w:iCs w:val="0"/>
              </w:rPr>
              <w:t xml:space="preserve">Estado da resposta</w:t>
            </w:r>
          </w:p>
        </w:tc>
        <w:tc>
          <w:tcPr>
            <w:tcW w:type="dxa" w:w="424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1"/>
                <w:color w:val="FFFFFF"/>
                <w:sz w:val="17"/>
                <w:szCs w:val="17"/>
                <w:bCs w:val="1"/>
                <w:i w:val="0"/>
                <w:iCs w:val="0"/>
              </w:rPr>
              <w:t xml:space="preserve">Antes do uso</w:t>
            </w:r>
          </w:p>
        </w:tc>
        <w:tc>
          <w:tcPr>
            <w:tcW w:type="dxa" w:w="424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1"/>
                <w:color w:val="FFFFFF"/>
                <w:sz w:val="17"/>
                <w:szCs w:val="17"/>
                <w:bCs w:val="1"/>
                <w:i w:val="0"/>
                <w:iCs w:val="0"/>
              </w:rPr>
              <w:t xml:space="preserve">Durante o uso</w:t>
            </w:r>
          </w:p>
        </w:tc>
      </w:tr>
      <w:tr>
        <w:trPr>
          <w:cantSplit/>
        </w:trPr>
        <w:tc>
          <w:tcPr>
            <w:tcW w:type="dxa" w:w="173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  <w:bCs w:val="0"/>
                <w:i w:val="0"/>
                <w:iCs w:val="0"/>
              </w:rPr>
              <w:t xml:space="preserve">Qualquer Bloqueante</w:t>
            </w:r>
          </w:p>
        </w:tc>
        <w:tc>
          <w:tcPr>
            <w:tcW w:type="dxa" w:w="424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  <w:bCs w:val="0"/>
                <w:i w:val="0"/>
                <w:iCs w:val="0"/>
              </w:rPr>
              <w:t xml:space="preserve">Não delegar</w:t>
            </w:r>
          </w:p>
        </w:tc>
        <w:tc>
          <w:tcPr>
            <w:tcW w:type="dxa" w:w="424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  <w:bCs w:val="0"/>
                <w:i w:val="0"/>
                <w:iCs w:val="0"/>
              </w:rPr>
              <w:t xml:space="preserve">Interromper</w:t>
            </w:r>
          </w:p>
        </w:tc>
      </w:tr>
      <w:tr>
        <w:trPr>
          <w:cantSplit/>
        </w:trPr>
        <w:tc>
          <w:tcPr>
            <w:tcW w:type="dxa" w:w="173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  <w:bCs w:val="0"/>
                <w:i w:val="0"/>
                <w:iCs w:val="0"/>
              </w:rPr>
              <w:t xml:space="preserve">Nenhuma Bloqueante, qualquer Não resolvida</w:t>
            </w:r>
          </w:p>
        </w:tc>
        <w:tc>
          <w:tcPr>
            <w:tcW w:type="dxa" w:w="424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  <w:bCs w:val="0"/>
                <w:i w:val="0"/>
                <w:iCs w:val="0"/>
              </w:rPr>
              <w:t xml:space="preserve">Limitar e testar, com efeitos reversíveis, uma pessoa responsável, evidência, um prazo e um mecanismo de interrupção já definidos por escrito.</w:t>
            </w:r>
          </w:p>
        </w:tc>
        <w:tc>
          <w:tcPr>
            <w:tcW w:type="dxa" w:w="424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  <w:bCs w:val="0"/>
                <w:i w:val="0"/>
                <w:iCs w:val="0"/>
              </w:rPr>
              <w:t xml:space="preserve">Limitar e testar, com efeitos reversíveis, uma pessoa responsável, evidência, um prazo e um mecanismo de interrupção já definidos por escrito.</w:t>
            </w:r>
          </w:p>
        </w:tc>
      </w:tr>
      <w:tr>
        <w:trPr>
          <w:cantSplit/>
        </w:trPr>
        <w:tc>
          <w:tcPr>
            <w:tcW w:type="dxa" w:w="173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  <w:bCs w:val="0"/>
                <w:i w:val="0"/>
                <w:iCs w:val="0"/>
              </w:rPr>
              <w:t xml:space="preserve">Todas Suficientes</w:t>
            </w:r>
          </w:p>
        </w:tc>
        <w:tc>
          <w:tcPr>
            <w:tcW w:type="dxa" w:w="424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  <w:bCs w:val="0"/>
                <w:i w:val="0"/>
                <w:iCs w:val="0"/>
              </w:rPr>
              <w:t xml:space="preserve">Prosseguir permitido, com condições e uma data de reexame; continua possível um Não delegar fundamentado</w:t>
            </w:r>
          </w:p>
        </w:tc>
        <w:tc>
          <w:tcPr>
            <w:tcW w:type="dxa" w:w="424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  <w:bCs w:val="0"/>
                <w:i w:val="0"/>
                <w:iCs w:val="0"/>
              </w:rPr>
              <w:t xml:space="preserve">Prosseguir permitido, mantendo a data de reexame</w:t>
            </w:r>
          </w:p>
        </w:tc>
      </w:tr>
    </w:tbl>
    <w:p>
      <w:pPr>
        <w:keepLines w:val="0"/>
        <w:spacing w:line="270" w:lineRule="exact"/>
      </w:pPr>
      <w:r>
        <w:rPr>
          <w:rFonts w:ascii="EB Garamond" w:hAnsi="EB Garamond" w:eastAsia="EB Garamond" w:cs="EB Garamond"/>
          <w:color w:val="1F2D33"/>
          <w:sz w:val="18"/>
          <w:szCs w:val="18"/>
        </w:rPr>
        <w:t xml:space="preserve">Quando estão em jogo saúde, liberdade, renda, educação, identidade, serviços essenciais ou segurança, uma resposta Não resolvida sobre Mandato, Dano, Recurso ou Saída conta como Bloqueante.</w:t>
      </w:r>
    </w:p>
    <w:p>
      <w:pPr>
        <w:pStyle w:val="Heading1"/>
        <w:spacing w:line="460" w:lineRule="exact"/>
        <w:pageBreakBefore w:val="1"/>
      </w:pPr>
      <w:r>
        <w:rPr>
          <w:rFonts w:ascii="EB Garamond" w:hAnsi="EB Garamond" w:eastAsia="EB Garamond" w:cs="EB Garamond"/>
          <w:sz w:val="40"/>
          <w:szCs w:val="40"/>
          <w:color w:val="183445"/>
        </w:rPr>
        <w:t xml:space="preserve">Ficha preenchível do Teste 2050</w:t>
      </w:r>
    </w:p>
    <w:p>
      <w:pPr>
        <w:keepLines w:val="0"/>
        <w:spacing w:line="270" w:lineRule="exact"/>
      </w:pPr>
      <w:r>
        <w:rPr>
          <w:rFonts w:ascii="EB Garamond" w:hAnsi="EB Garamond" w:eastAsia="EB Garamond" w:cs="EB Garamond"/>
          <w:color w:val="1F2D33"/>
          <w:sz w:val="18"/>
          <w:szCs w:val="18"/>
        </w:rPr>
        <w:t xml:space="preserve">Use as páginas da ficha para identificar o caso e responder às sete perguntas; em seguida, registre o monitoramento, a decisão e o reexame. Preencha com fatos datados. Suficiente vale apenas dentro do perímetro escrito. Para Não resolvida, indique a evidência necessária e atribua uma pessoa responsável e um prazo. Bloqueante restringe ou interrompe a autorização. Os benefícios não compensam a ausência de Recurso, Saída ou autoridade para interromper.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4601"/>
        <w:gridCol w:w="5623"/>
      </w:tblGrid>
      <w:tr>
        <w:trPr>
          <w:tblHeader w:val="true"/>
          <w:cantSplit/>
        </w:trPr>
        <w:tc>
          <w:tcPr>
            <w:tcW w:type="dxa" w:w="4601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Página 1 - A ficha mínima</w:t>
            </w:r>
          </w:p>
        </w:tc>
        <w:tc>
          <w:tcPr>
            <w:tcW w:type="dxa" w:w="562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Registro</w:t>
            </w:r>
          </w:p>
        </w:tc>
      </w:tr>
      <w:tr>
        <w:trPr>
          <w:cantSplit/>
          <w:trHeight w:val="500" w:hRule="atLeast"/>
        </w:trPr>
        <w:tc>
          <w:tcPr>
            <w:tcW w:type="dxa" w:w="4601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Problema, beneficiários e critério de sucesso</w:t>
            </w:r>
          </w:p>
        </w:tc>
        <w:tc>
          <w:tcPr>
            <w:tcW w:type="dxa" w:w="562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  <w:tr>
        <w:trPr>
          <w:cantSplit/>
          <w:trHeight w:val="500" w:hRule="atLeast"/>
        </w:trPr>
        <w:tc>
          <w:tcPr>
            <w:tcW w:type="dxa" w:w="4601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Decisão ou serviço afetado</w:t>
            </w:r>
          </w:p>
        </w:tc>
        <w:tc>
          <w:tcPr>
            <w:tcW w:type="dxa" w:w="562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  <w:tr>
        <w:trPr>
          <w:cantSplit/>
          <w:trHeight w:val="500" w:hRule="atLeast"/>
        </w:trPr>
        <w:tc>
          <w:tcPr>
            <w:tcW w:type="dxa" w:w="4601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Sistema, versão, fornecedor e dependências essenciais</w:t>
            </w:r>
          </w:p>
        </w:tc>
        <w:tc>
          <w:tcPr>
            <w:tcW w:type="dxa" w:w="562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4601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Modalidade solicitada (as modalidades podem ser combinadas por tarefa)</w:t>
            </w:r>
          </w:p>
        </w:tc>
        <w:tc>
          <w:tcPr>
            <w:tcW w:type="dxa" w:w="562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[ ] Auxilia  [ ] Propõe  [ ] Decide  [ ] Executa</w:t>
            </w:r>
          </w:p>
        </w:tc>
      </w:tr>
      <w:tr>
        <w:trPr>
          <w:cantSplit/>
          <w:trHeight w:val="500" w:hRule="atLeast"/>
        </w:trPr>
        <w:tc>
          <w:tcPr>
            <w:tcW w:type="dxa" w:w="4601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Dados necessários e dados proibidos</w:t>
            </w:r>
          </w:p>
        </w:tc>
        <w:tc>
          <w:tcPr>
            <w:tcW w:type="dxa" w:w="562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  <w:tr>
        <w:trPr>
          <w:cantSplit/>
          <w:trHeight w:val="500" w:hRule="atLeast"/>
        </w:trPr>
        <w:tc>
          <w:tcPr>
            <w:tcW w:type="dxa" w:w="4601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Pessoas expostas e grupos menos protegidos</w:t>
            </w:r>
          </w:p>
        </w:tc>
        <w:tc>
          <w:tcPr>
            <w:tcW w:type="dxa" w:w="562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  <w:tr>
        <w:trPr>
          <w:cantSplit/>
          <w:trHeight w:val="500" w:hRule="atLeast"/>
        </w:trPr>
        <w:tc>
          <w:tcPr>
            <w:tcW w:type="dxa" w:w="4601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Consequência inaceitável</w:t>
            </w:r>
          </w:p>
        </w:tc>
        <w:tc>
          <w:tcPr>
            <w:tcW w:type="dxa" w:w="562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  <w:tr>
        <w:trPr>
          <w:cantSplit/>
          <w:trHeight w:val="500" w:hRule="atLeast"/>
        </w:trPr>
        <w:tc>
          <w:tcPr>
            <w:tcW w:type="dxa" w:w="4601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Compreensibilidade verificada e caso-limite utilizado</w:t>
            </w:r>
          </w:p>
        </w:tc>
        <w:tc>
          <w:tcPr>
            <w:tcW w:type="dxa" w:w="562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  <w:tr>
        <w:trPr>
          <w:cantSplit/>
          <w:trHeight w:val="500" w:hRule="atLeast"/>
        </w:trPr>
        <w:tc>
          <w:tcPr>
            <w:tcW w:type="dxa" w:w="4601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Autoridade para suspender e modo degradado</w:t>
            </w:r>
          </w:p>
        </w:tc>
        <w:tc>
          <w:tcPr>
            <w:tcW w:type="dxa" w:w="562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  <w:tr>
        <w:trPr>
          <w:cantSplit/>
          <w:trHeight w:val="500" w:hRule="atLeast"/>
        </w:trPr>
        <w:tc>
          <w:tcPr>
            <w:tcW w:type="dxa" w:w="4601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Pessoa que prepara, função e responsável pela decisão</w:t>
            </w:r>
          </w:p>
        </w:tc>
        <w:tc>
          <w:tcPr>
            <w:tcW w:type="dxa" w:w="562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  <w:tr>
        <w:trPr>
          <w:cantSplit/>
          <w:trHeight w:val="500" w:hRule="atLeast"/>
        </w:trPr>
        <w:tc>
          <w:tcPr>
            <w:tcW w:type="dxa" w:w="4601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Data, motivo do reexame e término previsto</w:t>
            </w:r>
          </w:p>
        </w:tc>
        <w:tc>
          <w:tcPr>
            <w:tcW w:type="dxa" w:w="562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  <w:tr>
        <w:trPr>
          <w:cantSplit/>
          <w:trHeight w:val="500" w:hRule="atLeast"/>
        </w:trPr>
        <w:tc>
          <w:tcPr>
            <w:tcW w:type="dxa" w:w="4601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Tempo estimado até o dano</w:t>
            </w:r>
          </w:p>
        </w:tc>
        <w:tc>
          <w:tcPr>
            <w:tcW w:type="dxa" w:w="562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4601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Tempo de intervenção medido</w:t>
            </w:r>
          </w:p>
        </w:tc>
        <w:tc>
          <w:tcPr>
            <w:tcW w:type="dxa" w:w="562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601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Tempo de intervenção &lt; tempo até o dano?</w:t>
            </w:r>
          </w:p>
        </w:tc>
        <w:tc>
          <w:tcPr>
            <w:tcW w:type="dxa" w:w="562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[ ] Sim  [ ] Não  [ ] não medido</w:t>
            </w:r>
          </w:p>
        </w:tc>
      </w:tr>
      <w:tr>
        <w:trPr>
          <w:cantSplit/>
          <w:trHeight w:val="500" w:hRule="atLeast"/>
        </w:trPr>
        <w:tc>
          <w:tcPr>
            <w:tcW w:type="dxa" w:w="4601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Custo da não adoção: quem espera, por quanto tempo e com qual dano</w:t>
            </w:r>
          </w:p>
        </w:tc>
        <w:tc>
          <w:tcPr>
            <w:tcW w:type="dxa" w:w="562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4601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Estado do custo da não adoção</w:t>
            </w:r>
          </w:p>
        </w:tc>
        <w:tc>
          <w:tcPr>
            <w:tcW w:type="dxa" w:w="562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[ ] Suficiente   [ ] Não resolvida   [ ] Bloqueante</w:t>
            </w:r>
          </w:p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Esse estado qualifica a estimativa e alimenta Finalidade, Distribuição e Dano; não é uma oitava pergunta.</w:t>
            </w:r>
          </w:p>
        </w:tc>
      </w:tr>
    </w:tbl>
    <w:p>
      <w:pPr>
        <w:spacing w:after="0"/>
      </w:pPr>
    </w:p>
    <w:p>
      <w:r>
        <w:br w:type="page"/>
        <w:rPr>
          <w:rFonts w:ascii="EB Garamond" w:hAnsi="EB Garamond" w:eastAsia="EB Garamond" w:cs="EB Garamond"/>
          <w:sz w:val="21"/>
          <w:szCs w:val="21"/>
        </w:rPr>
      </w:r>
      <w:pPr/>
    </w:p>
    <w:p>
      <w:pPr>
        <w:pStyle w:val="Heading1"/>
        <w:spacing w:line="460" w:lineRule="exact"/>
      </w:pPr>
      <w:r>
        <w:rPr>
          <w:rFonts w:ascii="EB Garamond" w:hAnsi="EB Garamond" w:eastAsia="EB Garamond" w:cs="EB Garamond"/>
          <w:sz w:val="40"/>
          <w:szCs w:val="40"/>
          <w:color w:val="183445"/>
        </w:rPr>
        <w:t xml:space="preserve">As sete perguntas - Finalidade e Mandato</w:t>
      </w:r>
    </w:p>
    <w:p>
      <w:pPr>
        <w:pStyle w:val="Heading2"/>
        <w:spacing w:line="360" w:lineRule="exact"/>
      </w:pPr>
      <w:r>
        <w:rPr>
          <w:rFonts w:ascii="EB Garamond" w:hAnsi="EB Garamond" w:eastAsia="EB Garamond" w:cs="EB Garamond"/>
          <w:sz w:val="30"/>
          <w:szCs w:val="30"/>
          <w:color w:val="B04A35"/>
        </w:rPr>
        <w:t xml:space="preserve">1. Finalidade</w:t>
      </w:r>
    </w:p>
    <w:p>
      <w:pPr>
        <w:keepLines w:val="0"/>
        <w:spacing w:line="270" w:lineRule="exact"/>
      </w:pPr>
      <w:r>
        <w:rPr>
          <w:rFonts w:ascii="EB Garamond" w:hAnsi="EB Garamond" w:eastAsia="EB Garamond" w:cs="EB Garamond"/>
          <w:color w:val="1F2D33"/>
          <w:sz w:val="18"/>
          <w:szCs w:val="18"/>
        </w:rPr>
        <w:t xml:space="preserve">Qual problema observável está sendo enfrentado, para quem e segundo qual critério de melhoria? Qual alternativa menos invasiva e qual custo de não intervir foram comparados?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10224"/>
      </w:tblGrid>
      <w:tr>
        <w:trPr>
          <w:tblHeader w:val="true"/>
          <w:cantSplit/>
        </w:trPr>
        <w:tc>
          <w:tcPr>
            <w:tcW w:type="dxa" w:w="1022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Fatos, documentos, versão e data das evidências:</w:t>
            </w:r>
          </w:p>
        </w:tc>
      </w:tr>
      <w:tr>
        <w:trPr>
          <w:cantSplit/>
          <w:trHeight w:val="1150" w:hRule="atLeast"/>
        </w:trPr>
        <w:tc>
          <w:tcPr>
            <w:tcW w:type="dxa" w:w="1022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</w:tbl>
    <w:p>
      <w:pPr>
        <w:spacing w:after="0"/>
      </w:pPr>
    </w:p>
    <w:p>
      <w:pPr>
        <w:spacing w:after="40" w:line="270" w:lineRule="exact"/>
      </w:pPr>
      <w:r>
        <w:rPr>
          <w:rFonts w:ascii="EB Garamond" w:hAnsi="EB Garamond" w:eastAsia="EB Garamond" w:cs="EB Garamond"/>
          <w:b/>
          <w:color w:val="183445"/>
          <w:sz w:val="21"/>
          <w:szCs w:val="21"/>
        </w:rPr>
        <w:t xml:space="preserve">Estado da resposta:  [ ] Suficiente   [ ] Não resolvida   [ ] Bloqueante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10224"/>
      </w:tblGrid>
      <w:tr>
        <w:trPr>
          <w:tblHeader w:val="true"/>
          <w:cantSplit/>
        </w:trPr>
        <w:tc>
          <w:tcPr>
            <w:tcW w:type="dxa" w:w="1022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Justificativa, limite do perímetro e, se faltar evidência, pessoa responsável, prazo e consequência (incluindo qualquer interrupção necessária):</w:t>
            </w:r>
          </w:p>
        </w:tc>
      </w:tr>
      <w:tr>
        <w:trPr>
          <w:cantSplit/>
          <w:trHeight w:val="720" w:hRule="atLeast"/>
        </w:trPr>
        <w:tc>
          <w:tcPr>
            <w:tcW w:type="dxa" w:w="1022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  <w:p>
            <w:pPr>
              <w:spacing w:after="0" w:line="240" w:lineRule="auto" w:before="240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Bloqueante: reparação / condição a alterar / reavaliação: ________________________</w:t>
            </w:r>
          </w:p>
        </w:tc>
      </w:tr>
    </w:tbl>
    <w:p>
      <w:pPr>
        <w:spacing w:after="0"/>
      </w:pPr>
    </w:p>
    <w:p>
      <w:pPr>
        <w:pStyle w:val="Heading2"/>
        <w:spacing w:line="360" w:lineRule="exact"/>
      </w:pPr>
      <w:r>
        <w:rPr>
          <w:rFonts w:ascii="EB Garamond" w:hAnsi="EB Garamond" w:eastAsia="EB Garamond" w:cs="EB Garamond"/>
          <w:sz w:val="30"/>
          <w:szCs w:val="30"/>
          <w:color w:val="B04A35"/>
        </w:rPr>
        <w:t xml:space="preserve">2. Mandato</w:t>
      </w:r>
    </w:p>
    <w:p>
      <w:pPr>
        <w:keepLines w:val="0"/>
        <w:spacing w:line="270" w:lineRule="exact"/>
      </w:pPr>
      <w:r>
        <w:rPr>
          <w:rFonts w:ascii="EB Garamond" w:hAnsi="EB Garamond" w:eastAsia="EB Garamond" w:cs="EB Garamond"/>
          <w:color w:val="1F2D33"/>
          <w:sz w:val="18"/>
          <w:szCs w:val="18"/>
        </w:rPr>
        <w:t xml:space="preserve">Para cada tarefa, qual modalidade se aplica ao sistema — Auxilia, Propõe, Decide ou Executa? Quais dados, pessoas, locais, duração e volume delimitam seu poder? Quais ações são proibidas e quem pode interrompê-lo?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10224"/>
      </w:tblGrid>
      <w:tr>
        <w:trPr>
          <w:tblHeader w:val="true"/>
          <w:cantSplit/>
        </w:trPr>
        <w:tc>
          <w:tcPr>
            <w:tcW w:type="dxa" w:w="1022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Fatos, documentos, versão e data das evidências:</w:t>
            </w:r>
          </w:p>
        </w:tc>
      </w:tr>
      <w:tr>
        <w:trPr>
          <w:cantSplit/>
          <w:trHeight w:val="1150" w:hRule="atLeast"/>
        </w:trPr>
        <w:tc>
          <w:tcPr>
            <w:tcW w:type="dxa" w:w="1022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</w:tbl>
    <w:p>
      <w:pPr>
        <w:spacing w:after="0"/>
      </w:pPr>
    </w:p>
    <w:p>
      <w:pPr>
        <w:spacing w:after="40" w:line="270" w:lineRule="exact"/>
      </w:pPr>
      <w:r>
        <w:rPr>
          <w:rFonts w:ascii="EB Garamond" w:hAnsi="EB Garamond" w:eastAsia="EB Garamond" w:cs="EB Garamond"/>
          <w:b/>
          <w:color w:val="183445"/>
          <w:sz w:val="21"/>
          <w:szCs w:val="21"/>
        </w:rPr>
        <w:t xml:space="preserve">Estado da resposta:  [ ] Suficiente   [ ] Não resolvida   [ ] Bloqueante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10224"/>
      </w:tblGrid>
      <w:tr>
        <w:trPr>
          <w:tblHeader w:val="true"/>
          <w:cantSplit/>
        </w:trPr>
        <w:tc>
          <w:tcPr>
            <w:tcW w:type="dxa" w:w="1022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Justificativa, limite do perímetro e, se faltar evidência, pessoa responsável, prazo e consequência (incluindo qualquer interrupção necessária):</w:t>
            </w:r>
          </w:p>
        </w:tc>
      </w:tr>
      <w:tr>
        <w:trPr>
          <w:cantSplit/>
          <w:trHeight w:val="720" w:hRule="atLeast"/>
        </w:trPr>
        <w:tc>
          <w:tcPr>
            <w:tcW w:type="dxa" w:w="1022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  <w:p>
            <w:pPr>
              <w:spacing w:after="0" w:line="240" w:lineRule="auto" w:before="240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Bloqueante: reparação / condição a alterar / reavaliação: ________________________</w:t>
            </w:r>
          </w:p>
        </w:tc>
      </w:tr>
    </w:tbl>
    <w:p>
      <w:pPr>
        <w:spacing w:after="0"/>
      </w:pPr>
    </w:p>
    <w:p>
      <w:r>
        <w:br w:type="page"/>
        <w:rPr>
          <w:rFonts w:ascii="EB Garamond" w:hAnsi="EB Garamond" w:eastAsia="EB Garamond" w:cs="EB Garamond"/>
          <w:sz w:val="21"/>
          <w:szCs w:val="21"/>
        </w:rPr>
      </w:r>
      <w:pPr/>
    </w:p>
    <w:p>
      <w:pPr>
        <w:pStyle w:val="Heading1"/>
        <w:spacing w:line="460" w:lineRule="exact"/>
      </w:pPr>
      <w:r>
        <w:rPr>
          <w:rFonts w:ascii="EB Garamond" w:hAnsi="EB Garamond" w:eastAsia="EB Garamond" w:cs="EB Garamond"/>
          <w:sz w:val="40"/>
          <w:szCs w:val="40"/>
          <w:color w:val="183445"/>
        </w:rPr>
        <w:t xml:space="preserve">As sete perguntas - Evidência e Distribuição</w:t>
      </w:r>
    </w:p>
    <w:p>
      <w:pPr>
        <w:pStyle w:val="Heading2"/>
        <w:spacing w:line="360" w:lineRule="exact"/>
      </w:pPr>
      <w:r>
        <w:rPr>
          <w:rFonts w:ascii="EB Garamond" w:hAnsi="EB Garamond" w:eastAsia="EB Garamond" w:cs="EB Garamond"/>
          <w:sz w:val="30"/>
          <w:szCs w:val="30"/>
          <w:color w:val="B04A35"/>
        </w:rPr>
        <w:t xml:space="preserve">3. Evidência</w:t>
      </w:r>
    </w:p>
    <w:p>
      <w:pPr>
        <w:keepLines w:val="0"/>
        <w:spacing w:line="270" w:lineRule="exact"/>
      </w:pPr>
      <w:r>
        <w:rPr>
          <w:rFonts w:ascii="EB Garamond" w:hAnsi="EB Garamond" w:eastAsia="EB Garamond" w:cs="EB Garamond"/>
          <w:color w:val="1F2D33"/>
          <w:sz w:val="18"/>
          <w:szCs w:val="18"/>
        </w:rPr>
        <w:t xml:space="preserve">Quais fontes, dados, desempenho no contexto, limitações e casos de falha sustentam a escolha? A compreensibilidade foi verificada, no tempo disponível, usando um caso comum e um caso-limite?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10224"/>
      </w:tblGrid>
      <w:tr>
        <w:trPr>
          <w:tblHeader w:val="true"/>
          <w:cantSplit/>
        </w:trPr>
        <w:tc>
          <w:tcPr>
            <w:tcW w:type="dxa" w:w="1022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Fatos, documentos, versão e data das evidências:</w:t>
            </w:r>
          </w:p>
        </w:tc>
      </w:tr>
      <w:tr>
        <w:trPr>
          <w:cantSplit/>
          <w:trHeight w:val="1150" w:hRule="atLeast"/>
        </w:trPr>
        <w:tc>
          <w:tcPr>
            <w:tcW w:type="dxa" w:w="1022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</w:tbl>
    <w:p>
      <w:pPr>
        <w:spacing w:after="0"/>
      </w:pPr>
    </w:p>
    <w:p>
      <w:pPr>
        <w:spacing w:after="40" w:line="270" w:lineRule="exact"/>
      </w:pPr>
      <w:r>
        <w:rPr>
          <w:rFonts w:ascii="EB Garamond" w:hAnsi="EB Garamond" w:eastAsia="EB Garamond" w:cs="EB Garamond"/>
          <w:b/>
          <w:color w:val="183445"/>
          <w:sz w:val="21"/>
          <w:szCs w:val="21"/>
        </w:rPr>
        <w:t xml:space="preserve">Estado da resposta:  [ ] Suficiente   [ ] Não resolvida   [ ] Bloqueante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10224"/>
      </w:tblGrid>
      <w:tr>
        <w:trPr>
          <w:tblHeader w:val="true"/>
          <w:cantSplit/>
        </w:trPr>
        <w:tc>
          <w:tcPr>
            <w:tcW w:type="dxa" w:w="1022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Justificativa, limite do perímetro e, se faltar evidência, pessoa responsável, prazo e consequência (incluindo qualquer interrupção necessária):</w:t>
            </w:r>
          </w:p>
        </w:tc>
      </w:tr>
      <w:tr>
        <w:trPr>
          <w:cantSplit/>
          <w:trHeight w:val="720" w:hRule="atLeast"/>
        </w:trPr>
        <w:tc>
          <w:tcPr>
            <w:tcW w:type="dxa" w:w="1022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  <w:p>
            <w:pPr>
              <w:spacing w:after="0" w:line="240" w:lineRule="auto" w:before="240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Bloqueante: reparação / condição a alterar / reavaliação: ________________________</w:t>
            </w:r>
          </w:p>
        </w:tc>
      </w:tr>
    </w:tbl>
    <w:p>
      <w:pPr>
        <w:spacing w:after="0"/>
      </w:pPr>
    </w:p>
    <w:p>
      <w:pPr>
        <w:pStyle w:val="Heading2"/>
        <w:spacing w:line="360" w:lineRule="exact"/>
      </w:pPr>
      <w:r>
        <w:rPr>
          <w:rFonts w:ascii="EB Garamond" w:hAnsi="EB Garamond" w:eastAsia="EB Garamond" w:cs="EB Garamond"/>
          <w:sz w:val="30"/>
          <w:szCs w:val="30"/>
          <w:color w:val="B04A35"/>
        </w:rPr>
        <w:t xml:space="preserve">4. Distribuição</w:t>
      </w:r>
    </w:p>
    <w:p>
      <w:pPr>
        <w:keepLines w:val="0"/>
        <w:spacing w:line="270" w:lineRule="exact"/>
      </w:pPr>
      <w:r>
        <w:rPr>
          <w:rFonts w:ascii="EB Garamond" w:hAnsi="EB Garamond" w:eastAsia="EB Garamond" w:cs="EB Garamond"/>
          <w:color w:val="1F2D33"/>
          <w:sz w:val="18"/>
          <w:szCs w:val="18"/>
        </w:rPr>
        <w:t xml:space="preserve">Quem recebe benefícios, tempo ou poder e quem arca com o trabalho, o risco, os custos materiais, o treinamento ou a dificuldade de contestar o resultado? Quem arca com o custo durante as correções e se a delegação não for adiante?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10224"/>
      </w:tblGrid>
      <w:tr>
        <w:trPr>
          <w:tblHeader w:val="true"/>
          <w:cantSplit/>
        </w:trPr>
        <w:tc>
          <w:tcPr>
            <w:tcW w:type="dxa" w:w="1022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Fatos, documentos, versão e data das evidências:</w:t>
            </w:r>
          </w:p>
        </w:tc>
      </w:tr>
      <w:tr>
        <w:trPr>
          <w:cantSplit/>
          <w:trHeight w:val="1150" w:hRule="atLeast"/>
        </w:trPr>
        <w:tc>
          <w:tcPr>
            <w:tcW w:type="dxa" w:w="1022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</w:tbl>
    <w:p>
      <w:pPr>
        <w:spacing w:after="0"/>
      </w:pPr>
    </w:p>
    <w:p>
      <w:pPr>
        <w:spacing w:after="40" w:line="270" w:lineRule="exact"/>
      </w:pPr>
      <w:r>
        <w:rPr>
          <w:rFonts w:ascii="EB Garamond" w:hAnsi="EB Garamond" w:eastAsia="EB Garamond" w:cs="EB Garamond"/>
          <w:b/>
          <w:color w:val="183445"/>
          <w:sz w:val="21"/>
          <w:szCs w:val="21"/>
        </w:rPr>
        <w:t xml:space="preserve">Estado da resposta:  [ ] Suficiente   [ ] Não resolvida   [ ] Bloqueante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10224"/>
      </w:tblGrid>
      <w:tr>
        <w:trPr>
          <w:tblHeader w:val="true"/>
          <w:cantSplit/>
        </w:trPr>
        <w:tc>
          <w:tcPr>
            <w:tcW w:type="dxa" w:w="1022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Justificativa, limite do perímetro e, se faltar evidência, pessoa responsável, prazo e consequência (incluindo qualquer interrupção necessária):</w:t>
            </w:r>
          </w:p>
        </w:tc>
      </w:tr>
      <w:tr>
        <w:trPr>
          <w:cantSplit/>
          <w:trHeight w:val="720" w:hRule="atLeast"/>
        </w:trPr>
        <w:tc>
          <w:tcPr>
            <w:tcW w:type="dxa" w:w="1022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  <w:p>
            <w:pPr>
              <w:spacing w:after="0" w:line="240" w:lineRule="auto" w:before="240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Bloqueante: reparação / condição a alterar / reavaliação: ________________________</w:t>
            </w:r>
          </w:p>
        </w:tc>
      </w:tr>
    </w:tbl>
    <w:p>
      <w:pPr>
        <w:spacing w:after="0"/>
      </w:pPr>
    </w:p>
    <w:p>
      <w:r>
        <w:br w:type="page"/>
        <w:rPr>
          <w:rFonts w:ascii="EB Garamond" w:hAnsi="EB Garamond" w:eastAsia="EB Garamond" w:cs="EB Garamond"/>
          <w:sz w:val="21"/>
          <w:szCs w:val="21"/>
        </w:rPr>
      </w:r>
      <w:pPr/>
    </w:p>
    <w:p>
      <w:pPr>
        <w:pStyle w:val="Heading1"/>
        <w:spacing w:line="460" w:lineRule="exact"/>
      </w:pPr>
      <w:r>
        <w:rPr>
          <w:rFonts w:ascii="EB Garamond" w:hAnsi="EB Garamond" w:eastAsia="EB Garamond" w:cs="EB Garamond"/>
          <w:sz w:val="40"/>
          <w:szCs w:val="40"/>
          <w:color w:val="183445"/>
        </w:rPr>
        <w:t xml:space="preserve">As sete perguntas - Dano e Recurso</w:t>
      </w:r>
    </w:p>
    <w:p>
      <w:pPr>
        <w:pStyle w:val="Heading2"/>
        <w:spacing w:line="360" w:lineRule="exact"/>
      </w:pPr>
      <w:r>
        <w:rPr>
          <w:rFonts w:ascii="EB Garamond" w:hAnsi="EB Garamond" w:eastAsia="EB Garamond" w:cs="EB Garamond"/>
          <w:sz w:val="30"/>
          <w:szCs w:val="30"/>
          <w:color w:val="B04A35"/>
        </w:rPr>
        <w:t xml:space="preserve">5. Dano</w:t>
      </w:r>
    </w:p>
    <w:p>
      <w:pPr>
        <w:keepLines w:val="0"/>
        <w:spacing w:line="270" w:lineRule="exact"/>
      </w:pPr>
      <w:r>
        <w:rPr>
          <w:rFonts w:ascii="EB Garamond" w:hAnsi="EB Garamond" w:eastAsia="EB Garamond" w:cs="EB Garamond"/>
          <w:color w:val="1F2D33"/>
          <w:sz w:val="18"/>
          <w:szCs w:val="18"/>
        </w:rPr>
        <w:t xml:space="preserve">Qual falha plausível pode ocorrer, quão grave e reversível ela é e quanto tempo passa antes que se torne difícil corrigi-la? Qual limiar é inaceitável e qual reparação ainda é possível?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10224"/>
      </w:tblGrid>
      <w:tr>
        <w:trPr>
          <w:tblHeader w:val="true"/>
          <w:cantSplit/>
        </w:trPr>
        <w:tc>
          <w:tcPr>
            <w:tcW w:type="dxa" w:w="1022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Fatos, documentos, versão e data das evidências:</w:t>
            </w:r>
          </w:p>
        </w:tc>
      </w:tr>
      <w:tr>
        <w:trPr>
          <w:cantSplit/>
          <w:trHeight w:val="1150" w:hRule="atLeast"/>
        </w:trPr>
        <w:tc>
          <w:tcPr>
            <w:tcW w:type="dxa" w:w="1022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</w:tbl>
    <w:p>
      <w:pPr>
        <w:spacing w:after="0"/>
      </w:pPr>
    </w:p>
    <w:p>
      <w:pPr>
        <w:spacing w:after="40" w:line="270" w:lineRule="exact"/>
      </w:pPr>
      <w:r>
        <w:rPr>
          <w:rFonts w:ascii="EB Garamond" w:hAnsi="EB Garamond" w:eastAsia="EB Garamond" w:cs="EB Garamond"/>
          <w:b/>
          <w:color w:val="183445"/>
          <w:sz w:val="21"/>
          <w:szCs w:val="21"/>
        </w:rPr>
        <w:t xml:space="preserve">Estado da resposta:  [ ] Suficiente   [ ] Não resolvida   [ ] Bloqueante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10224"/>
      </w:tblGrid>
      <w:tr>
        <w:trPr>
          <w:tblHeader w:val="true"/>
          <w:cantSplit/>
        </w:trPr>
        <w:tc>
          <w:tcPr>
            <w:tcW w:type="dxa" w:w="1022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Justificativa, limite do perímetro e, se faltar evidência, pessoa responsável, prazo e consequência (incluindo qualquer interrupção necessária):</w:t>
            </w:r>
          </w:p>
        </w:tc>
      </w:tr>
      <w:tr>
        <w:trPr>
          <w:cantSplit/>
          <w:trHeight w:val="720" w:hRule="atLeast"/>
        </w:trPr>
        <w:tc>
          <w:tcPr>
            <w:tcW w:type="dxa" w:w="1022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  <w:p>
            <w:pPr>
              <w:spacing w:after="0" w:line="240" w:lineRule="auto" w:before="240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Bloqueante: reparação / condição a alterar / reavaliação: ________________________</w:t>
            </w:r>
          </w:p>
        </w:tc>
      </w:tr>
    </w:tbl>
    <w:p>
      <w:pPr>
        <w:spacing w:after="0"/>
      </w:pPr>
    </w:p>
    <w:p>
      <w:pPr>
        <w:pStyle w:val="Heading2"/>
        <w:spacing w:line="360" w:lineRule="exact"/>
      </w:pPr>
      <w:r>
        <w:rPr>
          <w:rFonts w:ascii="EB Garamond" w:hAnsi="EB Garamond" w:eastAsia="EB Garamond" w:cs="EB Garamond"/>
          <w:sz w:val="30"/>
          <w:szCs w:val="30"/>
          <w:color w:val="B04A35"/>
        </w:rPr>
        <w:t xml:space="preserve">6. Recurso</w:t>
      </w:r>
    </w:p>
    <w:p>
      <w:pPr>
        <w:keepLines w:val="0"/>
        <w:spacing w:line="270" w:lineRule="exact"/>
      </w:pPr>
      <w:r>
        <w:rPr>
          <w:rFonts w:ascii="EB Garamond" w:hAnsi="EB Garamond" w:eastAsia="EB Garamond" w:cs="EB Garamond"/>
          <w:color w:val="1F2D33"/>
          <w:sz w:val="18"/>
          <w:szCs w:val="18"/>
        </w:rPr>
        <w:t xml:space="preserve">A pessoa afetada pelo resultado recebe uma notificação compreensível e obtém acesso aos elementos passíveis de correção? Essa pessoa chega a tempo a um revisor competente, com autoridade para suspender ou modificar o resultado e comunicar as razões?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10224"/>
      </w:tblGrid>
      <w:tr>
        <w:trPr>
          <w:tblHeader w:val="true"/>
          <w:cantSplit/>
        </w:trPr>
        <w:tc>
          <w:tcPr>
            <w:tcW w:type="dxa" w:w="1022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Fatos, documentos, versão e data das evidências:</w:t>
            </w:r>
          </w:p>
        </w:tc>
      </w:tr>
      <w:tr>
        <w:trPr>
          <w:cantSplit/>
          <w:trHeight w:val="1150" w:hRule="atLeast"/>
        </w:trPr>
        <w:tc>
          <w:tcPr>
            <w:tcW w:type="dxa" w:w="1022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</w:tbl>
    <w:p>
      <w:pPr>
        <w:spacing w:after="0"/>
      </w:pPr>
    </w:p>
    <w:p>
      <w:pPr>
        <w:spacing w:after="40" w:line="270" w:lineRule="exact"/>
      </w:pPr>
      <w:r>
        <w:rPr>
          <w:rFonts w:ascii="EB Garamond" w:hAnsi="EB Garamond" w:eastAsia="EB Garamond" w:cs="EB Garamond"/>
          <w:b/>
          <w:color w:val="183445"/>
          <w:sz w:val="21"/>
          <w:szCs w:val="21"/>
        </w:rPr>
        <w:t xml:space="preserve">Estado da resposta:  [ ] Suficiente   [ ] Não resolvida   [ ] Bloqueante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10224"/>
      </w:tblGrid>
      <w:tr>
        <w:trPr>
          <w:tblHeader w:val="true"/>
          <w:cantSplit/>
        </w:trPr>
        <w:tc>
          <w:tcPr>
            <w:tcW w:type="dxa" w:w="1022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Justificativa, limite do perímetro e, se faltar evidência, pessoa responsável, prazo e consequência (incluindo qualquer interrupção necessária):</w:t>
            </w:r>
          </w:p>
        </w:tc>
      </w:tr>
      <w:tr>
        <w:trPr>
          <w:cantSplit/>
          <w:trHeight w:val="720" w:hRule="atLeast"/>
        </w:trPr>
        <w:tc>
          <w:tcPr>
            <w:tcW w:type="dxa" w:w="1022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  <w:p>
            <w:pPr>
              <w:spacing w:after="0" w:line="240" w:lineRule="auto" w:before="240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Bloqueante: reparação / condição a alterar / reavaliação: ________________________</w:t>
            </w:r>
          </w:p>
        </w:tc>
      </w:tr>
    </w:tbl>
    <w:p>
      <w:pPr>
        <w:spacing w:after="0"/>
      </w:pPr>
    </w:p>
    <w:p>
      <w:r>
        <w:br w:type="page"/>
        <w:rPr>
          <w:rFonts w:ascii="EB Garamond" w:hAnsi="EB Garamond" w:eastAsia="EB Garamond" w:cs="EB Garamond"/>
          <w:sz w:val="21"/>
          <w:szCs w:val="21"/>
        </w:rPr>
      </w:r>
      <w:pPr/>
    </w:p>
    <w:p>
      <w:pPr>
        <w:pStyle w:val="Heading1"/>
        <w:spacing w:line="460" w:lineRule="exact"/>
      </w:pPr>
      <w:r>
        <w:rPr>
          <w:rFonts w:ascii="EB Garamond" w:hAnsi="EB Garamond" w:eastAsia="EB Garamond" w:cs="EB Garamond"/>
          <w:sz w:val="40"/>
          <w:szCs w:val="40"/>
          <w:color w:val="183445"/>
        </w:rPr>
        <w:t xml:space="preserve">As sete perguntas - Saída e monitoramento</w:t>
      </w:r>
    </w:p>
    <w:p>
      <w:pPr>
        <w:pStyle w:val="Heading2"/>
        <w:spacing w:line="360" w:lineRule="exact"/>
      </w:pPr>
      <w:r>
        <w:rPr>
          <w:rFonts w:ascii="EB Garamond" w:hAnsi="EB Garamond" w:eastAsia="EB Garamond" w:cs="EB Garamond"/>
          <w:sz w:val="30"/>
          <w:szCs w:val="30"/>
          <w:color w:val="B04A35"/>
        </w:rPr>
        <w:t xml:space="preserve">7. Saída</w:t>
      </w:r>
    </w:p>
    <w:p>
      <w:pPr>
        <w:keepLines w:val="0"/>
        <w:spacing w:line="270" w:lineRule="exact"/>
      </w:pPr>
      <w:r>
        <w:rPr>
          <w:rFonts w:ascii="EB Garamond" w:hAnsi="EB Garamond" w:eastAsia="EB Garamond" w:cs="EB Garamond"/>
          <w:color w:val="1F2D33"/>
          <w:sz w:val="18"/>
          <w:szCs w:val="18"/>
        </w:rPr>
        <w:t xml:space="preserve">O sistema pode ser interrompido ou substituído preservando dados, direitos e serviços essenciais? As configurações, permissões e registros são reutilizáveis? O modo degradado foi testado? Quando ocorreu o último teste em condições reais e quem arca com seu custo?</w:t>
      </w:r>
    </w:p>
    <w:p>
      <w:pPr>
        <w:spacing w:after="40" w:line="270" w:lineRule="exact"/>
      </w:pPr>
      <w:r>
        <w:rPr>
          <w:rFonts w:ascii="EB Garamond" w:hAnsi="EB Garamond" w:eastAsia="EB Garamond" w:cs="EB Garamond"/>
          <w:b/>
          <w:color w:val="183445"/>
          <w:sz w:val="21"/>
          <w:szCs w:val="21"/>
        </w:rPr>
        <w:t xml:space="preserve">Custo da mudança (tempo, dinheiro): ________________________</w:t>
      </w:r>
    </w:p>
    <w:p>
      <w:pPr>
        <w:spacing w:after="40" w:line="270" w:lineRule="exact"/>
      </w:pPr>
      <w:r>
        <w:rPr>
          <w:rFonts w:ascii="EB Garamond" w:hAnsi="EB Garamond" w:eastAsia="EB Garamond" w:cs="EB Garamond"/>
          <w:b/>
          <w:color w:val="183445"/>
          <w:sz w:val="21"/>
          <w:szCs w:val="21"/>
        </w:rPr>
        <w:t xml:space="preserve">Teste de portabilidade realizado em: ________________________</w:t>
      </w:r>
    </w:p>
    <w:p>
      <w:pPr>
        <w:spacing w:after="40" w:line="270" w:lineRule="exact"/>
      </w:pPr>
      <w:r>
        <w:rPr>
          <w:rFonts w:ascii="EB Garamond" w:hAnsi="EB Garamond" w:eastAsia="EB Garamond" w:cs="EB Garamond"/>
          <w:b/>
          <w:color w:val="183445"/>
          <w:sz w:val="21"/>
          <w:szCs w:val="21"/>
        </w:rPr>
        <w:t xml:space="preserve">Parcela da tarefa ainda realizada manualmente: ________________________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10224"/>
      </w:tblGrid>
      <w:tr>
        <w:trPr>
          <w:tblHeader w:val="true"/>
          <w:cantSplit/>
        </w:trPr>
        <w:tc>
          <w:tcPr>
            <w:tcW w:type="dxa" w:w="1022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Fatos, documentos, versão e data das evidências:</w:t>
            </w:r>
          </w:p>
        </w:tc>
      </w:tr>
      <w:tr>
        <w:trPr>
          <w:cantSplit/>
          <w:trHeight w:val="1150" w:hRule="atLeast"/>
        </w:trPr>
        <w:tc>
          <w:tcPr>
            <w:tcW w:type="dxa" w:w="1022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</w:tbl>
    <w:p>
      <w:pPr>
        <w:spacing w:after="0"/>
      </w:pPr>
    </w:p>
    <w:p>
      <w:pPr>
        <w:spacing w:after="40" w:line="270" w:lineRule="exact"/>
      </w:pPr>
      <w:r>
        <w:rPr>
          <w:rFonts w:ascii="EB Garamond" w:hAnsi="EB Garamond" w:eastAsia="EB Garamond" w:cs="EB Garamond"/>
          <w:b/>
          <w:color w:val="183445"/>
          <w:sz w:val="21"/>
          <w:szCs w:val="21"/>
        </w:rPr>
        <w:t xml:space="preserve">Estado da resposta:  [ ] Suficiente   [ ] Não resolvida   [ ] Bloqueante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10224"/>
      </w:tblGrid>
      <w:tr>
        <w:trPr>
          <w:tblHeader w:val="true"/>
          <w:cantSplit/>
        </w:trPr>
        <w:tc>
          <w:tcPr>
            <w:tcW w:type="dxa" w:w="1022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Justificativa, limite do perímetro e, se faltar evidência, pessoa responsável, prazo e consequência (incluindo qualquer interrupção necessária):</w:t>
            </w:r>
          </w:p>
        </w:tc>
      </w:tr>
      <w:tr>
        <w:trPr>
          <w:cantSplit/>
          <w:trHeight w:val="720" w:hRule="atLeast"/>
        </w:trPr>
        <w:tc>
          <w:tcPr>
            <w:tcW w:type="dxa" w:w="10224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  <w:p>
            <w:pPr>
              <w:spacing w:after="0" w:line="240" w:lineRule="auto" w:before="240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Bloqueante: reparação / condição a alterar / reavaliação: ________________________</w:t>
            </w:r>
          </w:p>
        </w:tc>
      </w:tr>
    </w:tbl>
    <w:p>
      <w:pPr>
        <w:spacing w:after="0"/>
      </w:pPr>
    </w:p>
    <w:p>
      <w:pPr>
        <w:pStyle w:val="Heading2"/>
        <w:spacing w:line="360" w:lineRule="exact"/>
      </w:pPr>
      <w:r>
        <w:rPr>
          <w:rFonts w:ascii="EB Garamond" w:hAnsi="EB Garamond" w:eastAsia="EB Garamond" w:cs="EB Garamond"/>
          <w:sz w:val="30"/>
          <w:szCs w:val="30"/>
          <w:color w:val="B04A35"/>
        </w:rPr>
        <w:t xml:space="preserve">Passagem ao monitoramento do ciclo de vida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4396"/>
        <w:gridCol w:w="5828"/>
      </w:tblGrid>
      <w:tr>
        <w:trPr>
          <w:tblHeader w:val="true"/>
          <w:cantSplit/>
        </w:trPr>
        <w:tc>
          <w:tcPr>
            <w:tcW w:type="dxa" w:w="4396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Campo de monitoramento</w:t>
            </w:r>
          </w:p>
        </w:tc>
        <w:tc>
          <w:tcPr>
            <w:tcW w:type="dxa" w:w="582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Atualização</w:t>
            </w:r>
          </w:p>
        </w:tc>
      </w:tr>
      <w:tr>
        <w:trPr>
          <w:cantSplit/>
          <w:trHeight w:val="440" w:hRule="atLeast"/>
        </w:trPr>
        <w:tc>
          <w:tcPr>
            <w:tcW w:type="dxa" w:w="4396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Mandato, modalidade e versão vigentes</w:t>
            </w:r>
          </w:p>
        </w:tc>
        <w:tc>
          <w:tcPr>
            <w:tcW w:type="dxa" w:w="582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  <w:tr>
        <w:trPr>
          <w:cantSplit/>
          <w:trHeight w:val="440" w:hRule="atLeast"/>
        </w:trPr>
        <w:tc>
          <w:tcPr>
            <w:tcW w:type="dxa" w:w="4396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Benefícios e danos observados em relação à ficha</w:t>
            </w:r>
          </w:p>
        </w:tc>
        <w:tc>
          <w:tcPr>
            <w:tcW w:type="dxa" w:w="582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  <w:tr>
        <w:trPr>
          <w:cantSplit/>
          <w:trHeight w:val="440" w:hRule="atLeast"/>
        </w:trPr>
        <w:tc>
          <w:tcPr>
            <w:tcW w:type="dxa" w:w="4396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Exceções, incidentes, pedidos de Recurso e correções</w:t>
            </w:r>
          </w:p>
        </w:tc>
        <w:tc>
          <w:tcPr>
            <w:tcW w:type="dxa" w:w="582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  <w:tr>
        <w:trPr>
          <w:cantSplit/>
          <w:trHeight w:val="440" w:hRule="atLeast"/>
        </w:trPr>
        <w:tc>
          <w:tcPr>
            <w:tcW w:type="dxa" w:w="4396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Carga de supervisão, treinamento e competência residual</w:t>
            </w:r>
          </w:p>
        </w:tc>
        <w:tc>
          <w:tcPr>
            <w:tcW w:type="dxa" w:w="582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  <w:tr>
        <w:trPr>
          <w:cantSplit/>
          <w:trHeight w:val="440" w:hRule="atLeast"/>
        </w:trPr>
        <w:tc>
          <w:tcPr>
            <w:tcW w:type="dxa" w:w="4396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Último teste de saída: data, resultado e custo transferido</w:t>
            </w:r>
          </w:p>
        </w:tc>
        <w:tc>
          <w:tcPr>
            <w:tcW w:type="dxa" w:w="582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  <w:tr>
        <w:trPr>
          <w:cantSplit/>
          <w:trHeight w:val="440" w:hRule="atLeast"/>
        </w:trPr>
        <w:tc>
          <w:tcPr>
            <w:tcW w:type="dxa" w:w="4396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Limiar para restringir ou interromper atingido</w:t>
            </w:r>
          </w:p>
        </w:tc>
        <w:tc>
          <w:tcPr>
            <w:tcW w:type="dxa" w:w="582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  <w:tr>
        <w:trPr>
          <w:cantSplit/>
          <w:trHeight w:val="440" w:hRule="atLeast"/>
        </w:trPr>
        <w:tc>
          <w:tcPr>
            <w:tcW w:type="dxa" w:w="4396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Pessoa responsável e próximo reexame</w:t>
            </w:r>
          </w:p>
        </w:tc>
        <w:tc>
          <w:tcPr>
            <w:tcW w:type="dxa" w:w="5828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</w:r>
          </w:p>
        </w:tc>
      </w:tr>
    </w:tbl>
    <w:p>
      <w:pPr>
        <w:spacing w:after="0"/>
      </w:pPr>
    </w:p>
    <w:p>
      <w:r>
        <w:br w:type="page"/>
        <w:rPr>
          <w:rFonts w:ascii="EB Garamond" w:hAnsi="EB Garamond" w:eastAsia="EB Garamond" w:cs="EB Garamond"/>
          <w:sz w:val="21"/>
          <w:szCs w:val="21"/>
        </w:rPr>
      </w:r>
      <w:pPr/>
    </w:p>
    <w:p>
      <w:pPr>
        <w:pStyle w:val="Heading1"/>
        <w:spacing w:line="460" w:lineRule="exact"/>
      </w:pPr>
      <w:r>
        <w:rPr>
          <w:rFonts w:ascii="EB Garamond" w:hAnsi="EB Garamond" w:eastAsia="EB Garamond" w:cs="EB Garamond"/>
          <w:sz w:val="40"/>
          <w:szCs w:val="40"/>
          <w:color w:val="183445"/>
        </w:rPr>
        <w:t xml:space="preserve">Decisão e condições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8D2D7"/>
          <w:left w:val="single" w:sz="5" w:space="0" w:color="C8D2D7"/>
          <w:bottom w:val="single" w:sz="5" w:space="0" w:color="C8D2D7"/>
          <w:right w:val="single" w:sz="5" w:space="0" w:color="C8D2D7"/>
          <w:insideH w:val="single" w:sz="5" w:space="0" w:color="C8D2D7"/>
          <w:insideV w:val="single" w:sz="5" w:space="0" w:color="C8D2D7"/>
        </w:tblBorders>
      </w:tblPr>
      <w:tblGrid>
        <w:gridCol w:w="3681"/>
        <w:gridCol w:w="6543"/>
      </w:tblGrid>
      <w:tr>
        <w:trPr>
          <w:tblHeader w:val="true"/>
          <w:cantSplit/>
        </w:trPr>
        <w:tc>
          <w:tcPr>
            <w:tcW w:type="dxa" w:w="3681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Campo</w:t>
            </w:r>
          </w:p>
        </w:tc>
        <w:tc>
          <w:tcPr>
            <w:tcW w:type="dxa" w:w="654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123044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FFFFFF"/>
                <w:sz w:val="17"/>
                <w:szCs w:val="17"/>
              </w:rPr>
              <w:t xml:space="preserve">Decisão e condições</w:t>
            </w:r>
          </w:p>
        </w:tc>
      </w:tr>
      <w:tr>
        <w:trPr>
          <w:cantSplit/>
          <w:trHeight w:val="520" w:hRule="atLeast"/>
        </w:trPr>
        <w:tc>
          <w:tcPr>
            <w:tcW w:type="dxa" w:w="3681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Decisão organizacional</w:t>
            </w:r>
          </w:p>
        </w:tc>
        <w:tc>
          <w:tcPr>
            <w:tcW w:type="dxa" w:w="654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[ ] Prosseguir [ ] Limitar e testar [ ] Não delegar [ ] Interromper</w:t>
            </w:r>
          </w:p>
        </w:tc>
      </w:tr>
      <w:tr>
        <w:trPr>
          <w:cantSplit/>
          <w:trHeight w:val="520" w:hRule="atLeast"/>
        </w:trPr>
        <w:tc>
          <w:tcPr>
            <w:tcW w:type="dxa" w:w="3681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Justificativa</w:t>
            </w:r>
          </w:p>
        </w:tc>
        <w:tc>
          <w:tcPr>
            <w:tcW w:type="dxa" w:w="654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Evidência decisiva, condições marcadas como Bloqueantes, custo da adoção e custo da não adoção.</w:t>
            </w:r>
          </w:p>
        </w:tc>
      </w:tr>
      <w:tr>
        <w:trPr>
          <w:cantSplit/>
          <w:trHeight w:val="520" w:hRule="atLeast"/>
        </w:trPr>
        <w:tc>
          <w:tcPr>
            <w:tcW w:type="dxa" w:w="3681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Perímetro autorizado</w:t>
            </w:r>
          </w:p>
        </w:tc>
        <w:tc>
          <w:tcPr>
            <w:tcW w:type="dxa" w:w="654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Tarefas, modalidades, dados, pessoas, locais, duração e volume.</w:t>
            </w:r>
          </w:p>
        </w:tc>
      </w:tr>
      <w:tr>
        <w:trPr>
          <w:cantSplit/>
          <w:trHeight w:val="520" w:hRule="atLeast"/>
        </w:trPr>
        <w:tc>
          <w:tcPr>
            <w:tcW w:type="dxa" w:w="3681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Ações proibidas ou reservadas</w:t>
            </w:r>
          </w:p>
        </w:tc>
        <w:tc>
          <w:tcPr>
            <w:tcW w:type="dxa" w:w="654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O que permanece atribuído a uma pessoa ou fora do sistema.</w:t>
            </w:r>
          </w:p>
        </w:tc>
      </w:tr>
      <w:tr>
        <w:trPr>
          <w:cantSplit/>
          <w:trHeight w:val="520" w:hRule="atLeast"/>
        </w:trPr>
        <w:tc>
          <w:tcPr>
            <w:tcW w:type="dxa" w:w="3681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Condições antes do início</w:t>
            </w:r>
          </w:p>
        </w:tc>
        <w:tc>
          <w:tcPr>
            <w:tcW w:type="dxa" w:w="654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Evidência ausente, pessoa responsável, prazo e consequência caso a condição não seja cumprida.</w:t>
            </w:r>
          </w:p>
        </w:tc>
      </w:tr>
      <w:tr>
        <w:trPr>
          <w:cantSplit/>
          <w:trHeight w:val="520" w:hRule="atLeast"/>
        </w:trPr>
        <w:tc>
          <w:tcPr>
            <w:tcW w:type="dxa" w:w="3681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Monitoramento</w:t>
            </w:r>
          </w:p>
        </w:tc>
        <w:tc>
          <w:tcPr>
            <w:tcW w:type="dxa" w:w="654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Indicadores, versão, exceções, carga de supervisão e limiares.</w:t>
            </w:r>
          </w:p>
        </w:tc>
      </w:tr>
      <w:tr>
        <w:trPr>
          <w:cantSplit/>
          <w:trHeight w:val="520" w:hRule="atLeast"/>
        </w:trPr>
        <w:tc>
          <w:tcPr>
            <w:tcW w:type="dxa" w:w="3681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Modo degradado e interrupção</w:t>
            </w:r>
          </w:p>
        </w:tc>
        <w:tc>
          <w:tcPr>
            <w:tcW w:type="dxa" w:w="654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Serviço mantido, sinal, pessoa autorizada e duração máxima.</w:t>
            </w:r>
          </w:p>
        </w:tc>
      </w:tr>
      <w:tr>
        <w:trPr>
          <w:cantSplit/>
          <w:trHeight w:val="520" w:hRule="atLeast"/>
        </w:trPr>
        <w:tc>
          <w:tcPr>
            <w:tcW w:type="dxa" w:w="3681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Recurso e correção</w:t>
            </w:r>
          </w:p>
        </w:tc>
        <w:tc>
          <w:tcPr>
            <w:tcW w:type="dxa" w:w="654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Canal, responsável pela decisão, prazo, modificação possível e propagação da correção.</w:t>
            </w:r>
          </w:p>
        </w:tc>
      </w:tr>
      <w:tr>
        <w:trPr>
          <w:cantSplit/>
          <w:trHeight w:val="520" w:hRule="atLeast"/>
        </w:trPr>
        <w:tc>
          <w:tcPr>
            <w:tcW w:type="dxa" w:w="3681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Alternativa mantida e custo do não</w:t>
            </w:r>
          </w:p>
        </w:tc>
        <w:tc>
          <w:tcPr>
            <w:tcW w:type="dxa" w:w="654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Trabalho, serviço ou processo disponível se a delegação não começar ou for interrompida.</w:t>
            </w:r>
          </w:p>
        </w:tc>
      </w:tr>
      <w:tr>
        <w:trPr>
          <w:cantSplit/>
          <w:trHeight w:val="520" w:hRule="atLeast"/>
        </w:trPr>
        <w:tc>
          <w:tcPr>
            <w:tcW w:type="dxa" w:w="3681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Reexame</w:t>
            </w:r>
          </w:p>
        </w:tc>
        <w:tc>
          <w:tcPr>
            <w:tcW w:type="dxa" w:w="654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  <w:shd w:fill="EFF2F3"/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Data ou evento que aciona um reexame antecipado; partir da versão anterior e mostrar evidência, limiar e mudanças.</w:t>
            </w:r>
          </w:p>
        </w:tc>
      </w:tr>
      <w:tr>
        <w:trPr>
          <w:cantSplit/>
          <w:trHeight w:val="520" w:hRule="atLeast"/>
        </w:trPr>
        <w:tc>
          <w:tcPr>
            <w:tcW w:type="dxa" w:w="3681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/>
                <w:color w:val="1F2D33"/>
                <w:sz w:val="17"/>
                <w:szCs w:val="17"/>
              </w:rPr>
              <w:t xml:space="preserve">Responsabilidade</w:t>
            </w:r>
          </w:p>
        </w:tc>
        <w:tc>
          <w:tcPr>
            <w:tcW w:type="dxa" w:w="6543"/>
            <w:vAlign w:val="center"/>
            <w:tcMar>
              <w:top w:w="65" w:type="dxa"/>
              <w:start w:w="120" w:type="dxa"/>
              <w:bottom w:w="65" w:type="dxa"/>
              <w:end w:w="120" w:type="dxa"/>
            </w:tcMar>
          </w:tcPr>
          <w:p>
            <w:pPr>
              <w:spacing w:after="0" w:line="210" w:lineRule="exact"/>
            </w:pPr>
            <w:r>
              <w:rPr>
                <w:rFonts w:ascii="EB Garamond" w:hAnsi="EB Garamond" w:eastAsia="EB Garamond" w:cs="EB Garamond"/>
                <w:b w:val="0"/>
                <w:color w:val="1F2D33"/>
                <w:sz w:val="17"/>
                <w:szCs w:val="17"/>
              </w:rPr>
              <w:t xml:space="preserve">Nome, função, divergência registrada, assinatura e data.</w:t>
            </w:r>
          </w:p>
        </w:tc>
      </w:tr>
    </w:tbl>
    <w:p>
      <w:pPr>
        <w:spacing w:after="0"/>
      </w:pPr>
    </w:p>
    <w:sectPr>
      <w:headerReference w:type="default" r:id="rId9"/>
      <w:footerReference w:type="default" r:id="rId10"/>
      <w:footerReference w:type="first" r:id="rId11"/>
      <w:pgSz w:w="12240" w:h="15840"/>
      <w:pgMar w:top="790" w:right="1008" w:bottom="720" w:left="1008" w:header="432" w:footer="432" w:gutter="0"/>
      <w:cols w:space="720"/>
      <w:titlePg/>
      <w:docGrid w:linePitch="3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EB Garamond">
    <w:altName w:val="Garamond"/>
    <w:charset w:val="00"/>
    <w:family w:val="auto"/>
    <w:pitch w:val="variable"/>
    <w:sig w:usb0="E00002FF" w:usb1="02000413" w:usb2="00000000" w:usb3="00000000" w:csb0="0000019F" w:csb1="00000000"/>
    <w:embedRegular r:id="rId1" w:fontKey="{8803E84C-4695-4705-838C-D4FC599F85E4}"/>
    <w:embedBold r:id="rId2" w:fontKey="{34828F21-0C39-43B1-A4DE-E08636D6C3A3}"/>
    <w:embedItalic r:id="rId3" w:fontKey="{16841129-51C1-4C09-BE4D-4D07B4C2C00A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152" w:val="left"/>
      </w:tabs>
      <w:spacing w:before="0" w:after="0" w:line="200" w:lineRule="exact"/>
    </w:pPr>
    <w:r>
      <w:rPr>
        <w:rFonts w:ascii="EB Garamond" w:hAnsi="EB Garamond" w:eastAsia="EB Garamond" w:cs="EB Garamond"/>
        <w:color w:val="65757D"/>
        <w:sz w:val="16"/>
        <w:szCs w:val="16"/>
      </w:rPr>
      <w:t>2050 - PT-BR-R2.3 - Retrato documental de julho de 2026</w:t>
    </w:r>
    <w:r>
      <w:tab/>
      <w:rPr>
        <w:rFonts w:ascii="EB Garamond" w:hAnsi="EB Garamond" w:eastAsia="EB Garamond" w:cs="EB Garamond"/>
        <w:sz w:val="16"/>
        <w:szCs w:val="16"/>
        <w:color w:val="65757D"/>
      </w:rPr>
    </w:r>
    <w:r>
      <w:rPr>
        <w:rFonts w:ascii="EB Garamond" w:hAnsi="EB Garamond" w:eastAsia="EB Garamond" w:cs="EB Garamond"/>
        <w:color w:val="65757D"/>
        <w:sz w:val="16"/>
        <w:szCs w:val="16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spacing w:line="200" w:lineRule="exact"/>
    </w:pPr>
    <w:r>
      <w:rPr>
        <w:rFonts w:ascii="EB Garamond" w:hAnsi="EB Garamond" w:eastAsia="EB Garamond" w:cs="EB Garamond"/>
        <w:color w:val="65757D"/>
        <w:sz w:val="16"/>
        <w:szCs w:val="16"/>
      </w:rPr>
      <w:t>https://www.corneritaliano.com/pt-br/2050/recursos/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00" w:lineRule="exact"/>
      <w:jc w:val="left"/>
    </w:pPr>
    <w:r>
      <w:rPr>
        <w:rFonts w:ascii="EB Garamond" w:hAnsi="EB Garamond" w:eastAsia="EB Garamond" w:cs="EB Garamond"/>
        <w:b/>
        <w:color w:val="65757D"/>
        <w:sz w:val="16"/>
        <w:szCs w:val="16"/>
      </w:rPr>
      <w:t xml:space="preserve">2050  |  RECURSOS OFICIAIS  |  Caderno operacional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EB Garamond" w:hAnsi="EB Garamond" w:eastAsia="EB Garamond" w:cs="EB Garamond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EB Garamond" w:hAnsi="EB Garamond" w:eastAsia="EB Garamond" w:cs="EB Garamond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EB Garamond" w:hAnsi="EB Garamond" w:eastAsia="EB Garamond" w:cs="EB Garamond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EB Garamond" w:hAnsi="EB Garamond" w:eastAsia="EB Garamond" w:cs="EB Garamond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embedTrueTypeFonts/>
  <w:saveSubset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EB Garamond" w:hAnsi="EB Garamond" w:eastAsia="EB Garamond" w:cs="EB Garamond"/>
        <w:sz w:val="21"/>
        <w:szCs w:val="21"/>
        <w:lang w:val="pt-BR" w:eastAsia="pt-BR" w:bidi="ar-SA"/>
        <w:color w:val="1F2D33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60" w:line="270" w:lineRule="exact"/>
    </w:pPr>
    <w:rPr>
      <w:rFonts w:ascii="EB Garamond" w:hAnsi="EB Garamond" w:eastAsia="EB Garamond" w:cs="EB Garamond"/>
      <w:color w:val="1F2D33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EB Garamond" w:hAnsi="EB Garamond" w:eastAsia="EB Garamond" w:cs="EB Garamond"/>
      <w:sz w:val="16"/>
      <w:szCs w:val="16"/>
      <w:color w:val="65757D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EB Garamond" w:hAnsi="EB Garamond" w:eastAsia="EB Garamond" w:cs="EB Garamond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EB Garamond" w:hAnsi="EB Garamond" w:eastAsia="EB Garamond" w:cs="EB Garamond"/>
      <w:sz w:val="16"/>
      <w:szCs w:val="16"/>
      <w:color w:val="65757D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EB Garamond" w:hAnsi="EB Garamond" w:eastAsia="EB Garamond" w:cs="EB Garamond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8" w:after="104"/>
      <w:outlineLvl w:val="0"/>
    </w:pPr>
    <w:rPr>
      <w:rFonts w:ascii="EB Garamond" w:hAnsi="EB Garamond" w:eastAsia="EB Garamond" w:cs="EB Garamond"/>
      <w:b/>
      <w:bCs/>
      <w:color w:val="183445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56" w:after="78"/>
      <w:outlineLvl w:val="1"/>
    </w:pPr>
    <w:rPr>
      <w:rFonts w:ascii="EB Garamond" w:hAnsi="EB Garamond" w:eastAsia="EB Garamond" w:cs="EB Garamond"/>
      <w:b/>
      <w:bCs/>
      <w:color w:val="B04A35"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17" w:after="52"/>
      <w:outlineLvl w:val="2"/>
    </w:pPr>
    <w:rPr>
      <w:rFonts w:ascii="EB Garamond" w:hAnsi="EB Garamond" w:eastAsia="EB Garamond" w:cs="EB Garamond"/>
      <w:b/>
      <w:bCs/>
      <w:color w:val="183445"/>
      <w:sz w:val="23"/>
      <w:szCs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EB Garamond" w:hAnsi="EB Garamond" w:eastAsia="EB Garamond" w:cs="EB Garamond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EB Garamond" w:hAnsi="EB Garamond" w:eastAsia="EB Garamond" w:cs="EB Garamond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EB Garamond" w:hAnsi="EB Garamond" w:eastAsia="EB Garamond" w:cs="EB Garamond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EB Garamond" w:hAnsi="EB Garamond" w:eastAsia="EB Garamond" w:cs="EB Garamond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EB Garamond" w:hAnsi="EB Garamond" w:eastAsia="EB Garamond" w:cs="EB Garamond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EB Garamond" w:hAnsi="EB Garamond" w:eastAsia="EB Garamond" w:cs="EB Garamond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EB Garamond" w:hAnsi="EB Garamond" w:eastAsia="EB Garamond" w:cs="EB Garamond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rPr>
      <w:rFonts w:ascii="EB Garamond" w:hAnsi="EB Garamond" w:eastAsia="EB Garamond" w:cs="EB Garamond"/>
    </w:rPr>
  </w:style>
  <w:style w:type="numbering" w:default="1" w:styleId="NoList">
    <w:name w:val="No List"/>
    <w:uiPriority w:val="99"/>
    <w:semiHidden/>
    <w:unhideWhenUsed/>
    <w:rPr>
      <w:rFonts w:ascii="EB Garamond" w:hAnsi="EB Garamond" w:eastAsia="EB Garamond" w:cs="EB Garamond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EB Garamond" w:hAnsi="EB Garamond" w:eastAsia="EB Garamond" w:cs="EB Garamond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EB Garamond" w:hAnsi="EB Garamond" w:eastAsia="EB Garamond" w:cs="EB Garamond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EB Garamond" w:hAnsi="EB Garamond" w:eastAsia="EB Garamond" w:cs="EB Garamond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EB Garamond" w:hAnsi="EB Garamond" w:eastAsia="EB Garamond" w:cs="EB Garamond"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4" w:line="240" w:lineRule="auto" w:before="0"/>
      <w:contextualSpacing/>
    </w:pPr>
    <w:rPr>
      <w:rFonts w:ascii="EB Garamond" w:hAnsi="EB Garamond" w:eastAsia="EB Garamond" w:cs="EB Garamond"/>
      <w:b/>
      <w:color w:val="183445"/>
      <w:spacing w:val="5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EB Garamond" w:hAnsi="EB Garamond" w:eastAsia="EB Garamond" w:cs="EB Garamond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56"/>
    </w:pPr>
    <w:rPr>
      <w:rFonts w:ascii="EB Garamond" w:hAnsi="EB Garamond" w:eastAsia="EB Garamond" w:cs="EB Garamond"/>
      <w:b w:val="0"/>
      <w:i/>
      <w:iCs/>
      <w:color w:val="5A686F"/>
      <w:spacing w:val="15"/>
      <w:sz w:val="26"/>
      <w:szCs w:val="26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EB Garamond" w:hAnsi="EB Garamond" w:eastAsia="EB Garamond" w:cs="EB Garamond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EB Garamond" w:hAnsi="EB Garamond" w:eastAsia="EB Garamond" w:cs="EB Garamond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EB Garamond" w:hAnsi="EB Garamond" w:eastAsia="EB Garamond" w:cs="EB Garamond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EB Garamond" w:hAnsi="EB Garamond" w:eastAsia="EB Garamond" w:cs="EB Garamond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EB Garamond" w:hAnsi="EB Garamond" w:eastAsia="EB Garamond" w:cs="EB Garamond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EB Garamond" w:hAnsi="EB Garamond" w:eastAsia="EB Garamond" w:cs="EB Garamond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  <w:rFonts w:ascii="EB Garamond" w:hAnsi="EB Garamond" w:eastAsia="EB Garamond" w:cs="EB Garamond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  <w:rFonts w:ascii="EB Garamond" w:hAnsi="EB Garamond" w:eastAsia="EB Garamond" w:cs="EB Garamond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EB Garamond" w:hAnsi="EB Garamond" w:eastAsia="EB Garamond" w:cs="EB Garamond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EB Garamond" w:hAnsi="EB Garamond" w:eastAsia="EB Garamond" w:cs="EB Garamond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EB Garamond" w:hAnsi="EB Garamond" w:eastAsia="EB Garamond" w:cs="EB Garamond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EB Garamond" w:hAnsi="EB Garamond" w:eastAsia="EB Garamond" w:cs="EB Garamond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EB Garamond" w:hAnsi="EB Garamond" w:eastAsia="EB Garamond" w:cs="EB Garamond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EB Garamond" w:hAnsi="EB Garamond" w:eastAsia="EB Garamond" w:cs="EB Garamond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EB Garamond" w:hAnsi="EB Garamond" w:eastAsia="EB Garamond" w:cs="EB Garamond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EB Garamond" w:hAnsi="EB Garamond" w:eastAsia="EB Garamond" w:cs="EB Garamond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EB Garamond" w:hAnsi="EB Garamond" w:eastAsia="EB Garamond" w:cs="EB Garamond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EB Garamond" w:hAnsi="EB Garamond" w:eastAsia="EB Garamond" w:cs="EB Garamond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EB Garamond" w:hAnsi="EB Garamond" w:eastAsia="EB Garamond" w:cs="EB Garamond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EB Garamond" w:hAnsi="EB Garamond" w:eastAsia="EB Garamond" w:cs="EB Garamond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EB Garamond" w:hAnsi="EB Garamond" w:eastAsia="EB Garamond" w:cs="EB Garamond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EB Garamond" w:hAnsi="EB Garamond" w:eastAsia="EB Garamond" w:cs="EB Garamond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  <w:rFonts w:ascii="EB Garamond" w:hAnsi="EB Garamond" w:eastAsia="EB Garamond" w:cs="EB Garamond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  <w:rFonts w:ascii="EB Garamond" w:hAnsi="EB Garamond" w:eastAsia="EB Garamond" w:cs="EB Garamon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EB Garamond" w:hAnsi="EB Garamond" w:eastAsia="EB Garamond" w:cs="EB Garamond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EB Garamond" w:hAnsi="EB Garamond" w:eastAsia="EB Garamond" w:cs="EB Garamond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EB Garamond" w:hAnsi="EB Garamond" w:eastAsia="EB Garamond" w:cs="EB Garamond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EB Garamond" w:hAnsi="EB Garamond" w:eastAsia="EB Garamond" w:cs="EB Garamond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EB Garamond" w:hAnsi="EB Garamond" w:eastAsia="EB Garamond" w:cs="EB Garamond"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EB Garamond" w:hAnsi="EB Garamond" w:eastAsia="EB Garamond" w:cs="EB Garamond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  <w:rFonts w:ascii="EB Garamond" w:hAnsi="EB Garamond" w:eastAsia="EB Garamond" w:cs="EB Garamond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rFonts w:ascii="EB Garamond" w:hAnsi="EB Garamond" w:eastAsia="EB Garamond" w:cs="EB Garamond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rFonts w:ascii="EB Garamond" w:hAnsi="EB Garamond" w:eastAsia="EB Garamond" w:cs="EB Garamon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/>
      <w:rFonts w:ascii="EB Garamond" w:hAnsi="EB Garamond" w:eastAsia="EB Garamond" w:cs="EB Garamon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/>
      <w:rFonts w:ascii="EB Garamond" w:hAnsi="EB Garamond" w:eastAsia="EB Garamond" w:cs="EB Garamon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/>
      <w:rFonts w:ascii="EB Garamond" w:hAnsi="EB Garamond" w:eastAsia="EB Garamond" w:cs="EB Garamond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/>
      <w:rFonts w:ascii="EB Garamond" w:hAnsi="EB Garamond" w:eastAsia="EB Garamond" w:cs="EB Garamon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/>
      <w:u w:val="single"/>
      <w:rFonts w:ascii="EB Garamond" w:hAnsi="EB Garamond" w:eastAsia="EB Garamond" w:cs="EB Garamond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/>
      <w:spacing w:val="5"/>
      <w:u w:val="single"/>
      <w:rFonts w:ascii="EB Garamond" w:hAnsi="EB Garamond" w:eastAsia="EB Garamond" w:cs="EB Garamond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  <w:rFonts w:ascii="EB Garamond" w:hAnsi="EB Garamond" w:eastAsia="EB Garamond" w:cs="EB Garamond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EB Garamond" w:hAnsi="EB Garamond" w:eastAsia="EB Garamond" w:cs="EB Garamond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rPr>
      <w:rFonts w:ascii="EB Garamond" w:hAnsi="EB Garamond" w:eastAsia="EB Garamond" w:cs="EB Garamond"/>
    </w:r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rPr>
      <w:rFonts w:ascii="EB Garamond" w:hAnsi="EB Garamond" w:eastAsia="EB Garamond" w:cs="EB Garamond"/>
    </w:r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rPr>
      <w:rFonts w:ascii="EB Garamond" w:hAnsi="EB Garamond" w:eastAsia="EB Garamond" w:cs="EB Garamond"/>
    </w:r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rPr>
      <w:rFonts w:ascii="EB Garamond" w:hAnsi="EB Garamond" w:eastAsia="EB Garamond" w:cs="EB Garamond"/>
    </w:r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rPr>
      <w:rFonts w:ascii="EB Garamond" w:hAnsi="EB Garamond" w:eastAsia="EB Garamond" w:cs="EB Garamond"/>
    </w:r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rPr>
      <w:rFonts w:ascii="EB Garamond" w:hAnsi="EB Garamond" w:eastAsia="EB Garamond" w:cs="EB Garamond"/>
    </w:r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rPr>
      <w:rFonts w:ascii="EB Garamond" w:hAnsi="EB Garamond" w:eastAsia="EB Garamond" w:cs="EB Garamond"/>
    </w:r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rPr>
      <w:rFonts w:ascii="EB Garamond" w:hAnsi="EB Garamond" w:eastAsia="EB Garamond" w:cs="EB Garamond"/>
    </w:r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rPr>
      <w:rFonts w:ascii="EB Garamond" w:hAnsi="EB Garamond" w:eastAsia="EB Garamond" w:cs="EB Garamond"/>
    </w:r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rPr>
      <w:rFonts w:ascii="EB Garamond" w:hAnsi="EB Garamond" w:eastAsia="EB Garamond" w:cs="EB Garamond"/>
    </w:r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rPr>
      <w:rFonts w:ascii="EB Garamond" w:hAnsi="EB Garamond" w:eastAsia="EB Garamond" w:cs="EB Garamond"/>
    </w:r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rPr>
      <w:rFonts w:ascii="EB Garamond" w:hAnsi="EB Garamond" w:eastAsia="EB Garamond" w:cs="EB Garamond"/>
    </w:r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rPr>
      <w:rFonts w:ascii="EB Garamond" w:hAnsi="EB Garamond" w:eastAsia="EB Garamond" w:cs="EB Garamond"/>
    </w:r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rPr>
      <w:rFonts w:ascii="EB Garamond" w:hAnsi="EB Garamond" w:eastAsia="EB Garamond" w:cs="EB Garamond"/>
    </w:r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rPr>
      <w:rFonts w:ascii="EB Garamond" w:hAnsi="EB Garamond" w:eastAsia="EB Garamond" w:cs="EB Garamond"/>
    </w:r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EB Garamond" w:hAnsi="EB Garamond" w:eastAsia="EB Garamond" w:cs="EB Garamond"/>
    </w:r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rPr>
      <w:rFonts w:ascii="EB Garamond" w:hAnsi="EB Garamond" w:eastAsia="EB Garamond" w:cs="EB Garamond"/>
    </w:r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rPr>
      <w:rFonts w:ascii="EB Garamond" w:hAnsi="EB Garamond" w:eastAsia="EB Garamond" w:cs="EB Garamond"/>
    </w:r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rPr>
      <w:rFonts w:ascii="EB Garamond" w:hAnsi="EB Garamond" w:eastAsia="EB Garamond" w:cs="EB Garamond"/>
    </w:r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rPr>
      <w:rFonts w:ascii="EB Garamond" w:hAnsi="EB Garamond" w:eastAsia="EB Garamond" w:cs="EB Garamond"/>
    </w:r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rPr>
      <w:rFonts w:ascii="EB Garamond" w:hAnsi="EB Garamond" w:eastAsia="EB Garamond" w:cs="EB Garamond"/>
    </w:r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rPr>
      <w:rFonts w:ascii="EB Garamond" w:hAnsi="EB Garamond" w:eastAsia="EB Garamond" w:cs="EB Garamond"/>
    </w:r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rPr>
      <w:rFonts w:ascii="EB Garamond" w:hAnsi="EB Garamond" w:eastAsia="EB Garamond" w:cs="EB Garamond"/>
    </w:r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  <w:rPr>
      <w:rFonts w:ascii="EB Garamond" w:hAnsi="EB Garamond" w:eastAsia="EB Garamond" w:cs="EB Garamond"/>
    </w:r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  <w:rPr>
      <w:rFonts w:ascii="EB Garamond" w:hAnsi="EB Garamond" w:eastAsia="EB Garamond" w:cs="EB Garamond"/>
    </w:r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  <w:rPr>
      <w:rFonts w:ascii="EB Garamond" w:hAnsi="EB Garamond" w:eastAsia="EB Garamond" w:cs="EB Garamond"/>
    </w:r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  <w:rPr>
      <w:rFonts w:ascii="EB Garamond" w:hAnsi="EB Garamond" w:eastAsia="EB Garamond" w:cs="EB Garamond"/>
    </w:r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  <w:rPr>
      <w:rFonts w:ascii="EB Garamond" w:hAnsi="EB Garamond" w:eastAsia="EB Garamond" w:cs="EB Garamond"/>
    </w:r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  <w:rPr>
      <w:rFonts w:ascii="EB Garamond" w:hAnsi="EB Garamond" w:eastAsia="EB Garamond" w:cs="EB Garamond"/>
    </w:r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  <w:rPr>
      <w:rFonts w:ascii="EB Garamond" w:hAnsi="EB Garamond" w:eastAsia="EB Garamond" w:cs="EB Garamond"/>
    </w:r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FFFFFF"/>
      </w:rPr>
      <w:tblPr/>
      <w:tcPr>
        <w:shd w:val="clear" w:color="auto" w:fill="000000" w:themeFill="text1" w:themeFillShade="BF"/>
      </w:tcPr>
    </w:tblStylePr>
    <w:tblStylePr w:type="lastCol">
      <w:rPr>
        <w:color w:val="FFFFFF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  <w:rFonts w:ascii="EB Garamond" w:hAnsi="EB Garamond" w:eastAsia="EB Garamond" w:cs="EB Garamond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EB Garamond" w:hAnsi="EB Garamond" w:eastAsia="EB Garamond" w:cs="EB Garamond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EB Garamond" w:hAnsi="EB Garamond" w:eastAsia="EB Garamond" w:cs="EB Garamond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EB Garamond" w:hAnsi="EB Garamond" w:eastAsia="EB Garamond" w:cs="EB Garamond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EB Garamond" w:hAnsi="EB Garamond" w:eastAsia="EB Garamond" w:cs="EB Garamond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EB Garamond" w:hAnsi="EB Garamond" w:eastAsia="EB Garamond" w:cs="EB Garamond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EB Garamond" w:hAnsi="EB Garamond" w:eastAsia="EB Garamond" w:cs="EB Garamond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EB Garamond" w:hAnsi="EB Garamond" w:eastAsia="EB Garamond" w:cs="EB Garamond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EB Garamond" w:hAnsi="EB Garamond" w:eastAsia="EB Garamond" w:cs="EB Garamond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EB Garamond" w:hAnsi="EB Garamond" w:eastAsia="EB Garamond" w:cs="EB Garamond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EB Garamond" w:hAnsi="EB Garamond" w:eastAsia="EB Garamond" w:cs="EB Garamond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EB Garamond" w:hAnsi="EB Garamond" w:eastAsia="EB Garamond" w:cs="EB Garamond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EB Garamond" w:hAnsi="EB Garamond" w:eastAsia="EB Garamond" w:cs="EB Garamond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EB Garamond" w:hAnsi="EB Garamond" w:eastAsia="EB Garamond" w:cs="EB Garamond"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EB Garamond" w:hAnsi="EB Garamond" w:eastAsia="EB Garamond" w:cs="EB Garamond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EB Garamond" w:hAnsi="EB Garamond" w:eastAsia="EB Garamond" w:cs="EB Garamond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EB Garamond" w:hAnsi="EB Garamond" w:eastAsia="EB Garamond" w:cs="EB Garamond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EB Garamond" w:hAnsi="EB Garamond" w:eastAsia="EB Garamond" w:cs="EB Garamond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EB Garamond" w:hAnsi="EB Garamond" w:eastAsia="EB Garamond" w:cs="EB Garamond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EB Garamond" w:hAnsi="EB Garamond" w:eastAsia="EB Garamond" w:cs="EB Garamond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EB Garamond" w:hAnsi="EB Garamond" w:eastAsia="EB Garamond" w:cs="EB Garamond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EB Garamond" w:hAnsi="EB Garamond" w:eastAsia="EB Garamond" w:cs="EB Garamond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EB Garamond" w:hAnsi="EB Garamond" w:eastAsia="EB Garamond" w:cs="EB Garamond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EB Garamond" w:hAnsi="EB Garamond" w:eastAsia="EB Garamond" w:cs="EB Garamond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EB Garamond" w:hAnsi="EB Garamond" w:eastAsia="EB Garamond" w:cs="EB Garamond"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EB Garamond" w:hAnsi="EB Garamond" w:eastAsia="EB Garamond" w:cs="EB Garamond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EB Garamond" w:hAnsi="EB Garamond" w:eastAsia="EB Garamond" w:cs="EB Garamond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EB Garamond" w:hAnsi="EB Garamond" w:eastAsia="EB Garamond" w:cs="EB Garamond"/>
        <w:b/>
        <w:bCs/>
      </w:rPr>
    </w:tblStylePr>
    <w:tblStylePr w:type="lastCol">
      <w:rPr>
        <w:rFonts w:ascii="EB Garamond" w:hAnsi="EB Garamond" w:eastAsia="EB Garamond" w:cs="EB Garamond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EB Garamond" w:hAnsi="EB Garamond" w:eastAsia="EB Garamond" w:cs="EB Garamond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EB Garamond" w:hAnsi="EB Garamond" w:eastAsia="EB Garamond" w:cs="EB Garamond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FFFFFF"/>
      </w:rPr>
      <w:tblPr/>
      <w:tcPr>
        <w:shd w:val="clear" w:color="auto" w:fill="000000" w:themeFill="text1" w:themeFillShade="BF"/>
      </w:tcPr>
    </w:tblStylePr>
    <w:tblStylePr w:type="lastCol">
      <w:rPr>
        <w:color w:val="FFFFFF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hyperlink" Target="https://www.corneritaliano.com/pt-br/2050/recursos/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EBGaramond-Regular.odttf"/><Relationship Id="rId2" Type="http://schemas.openxmlformats.org/officeDocument/2006/relationships/font" Target="fonts/EBGaramond-Bold.odttf"/><Relationship Id="rId3" Type="http://schemas.openxmlformats.org/officeDocument/2006/relationships/font" Target="fonts/EBGaramond-Italic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EB Garamond"/>
        <a:ea typeface="EB Garamond"/>
        <a:cs typeface="EB Garamond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EB Garamond"/>
        <a:ea typeface="EB Garamond"/>
        <a:cs typeface="EB Garamond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Caderno operacional | PT-BR-R2.3 | Português brasileiro | English source V51.2</dc:title>
  <dc:subject>Caderno operacional | PT-BR-R2.3 | Português brasileiro | English source V51.2</dc:subject>
  <dc:creator>Marco De Prosperis</dc:creator>
  <cp:keywords>2050, EN-US-R2.3, July 2026 documentary snapshot, revised English interior</cp:keywords>
  <dc:description>Caderno operacional | PT-BR-R2.3 | Português brasileiro | English source V51.2</dc:description>
  <cp:lastModifiedBy>Corner Italiano LLC</cp:lastModifiedBy>
  <cp:revision>2</cp:revision>
  <dcterms:created xsi:type="dcterms:W3CDTF">2013-12-23T23:15:00Z</dcterms:created>
  <dcterms:modified xsi:type="dcterms:W3CDTF">2026-09-10T15:55:33Z</dcterms:modified>
  <cp:category/>
  <dc:language>pt-BR</dc:language>
</cp:coreProperties>
</file>