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pPr>
      <w:r>
        <w:rPr>
          <w:rFonts w:ascii="EB Garamond" w:hAnsi="EB Garamond" w:eastAsia="EB Garamond" w:cs="EB Garamond"/>
          <w:b/>
          <w:color w:val="183445"/>
          <w:sz w:val="56"/>
          <w:szCs w:val="56"/>
        </w:rPr>
        <w:t xml:space="preserve">Cronologia essencial</w:t>
      </w:r>
    </w:p>
    <w:p>
      <w:pPr>
        <w:pStyle w:val="Subtitle"/>
        <w:jc w:val="center"/>
        <w:spacing w:line="320" w:lineRule="exact"/>
      </w:pPr>
      <w:r>
        <w:rPr>
          <w:rFonts w:ascii="EB Garamond" w:hAnsi="EB Garamond" w:eastAsia="EB Garamond" w:cs="EB Garamond"/>
          <w:color w:val="5A686F"/>
          <w:sz w:val="26"/>
          <w:szCs w:val="26"/>
        </w:rPr>
        <w:t xml:space="preserve">Do surgimento da IA aos limiares narrativos de 2050</w:t>
      </w:r>
    </w:p>
    <w:p>
      <w:pPr>
        <w:spacing w:before="440" w:line="270" w:lineRule="exact"/>
        <w:jc w:val="center"/>
      </w:pPr>
      <w:r>
        <w:rPr>
          <w:rFonts w:ascii="EB Garamond" w:hAnsi="EB Garamond" w:eastAsia="EB Garamond" w:cs="EB Garamond"/>
          <w:b/>
          <w:color w:val="B04A35"/>
          <w:sz w:val="21"/>
          <w:szCs w:val="21"/>
        </w:rPr>
        <w:t xml:space="preserve">FATOS, SÍNTESES, REGULAMENTOS E CENÁRIOS</w:t>
      </w:r>
    </w:p>
    <w:p>
      <w:pPr>
        <w:jc w:val="center"/>
        <w:spacing w:line="270" w:lineRule="exact"/>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MÉTODO  Esta cronologia seleciona marcos que ajudam os leitores a se orientar no livro. Cada entrada identifica seu estado como fato ou síntese histórica, fato regulatório, cenário narrativo ou proposta do autor. As publicações técnicas são identificadas dentro dos fatos históricos. As datas jurídicas posteriores a 30 de julho de 2026 são marcadas como previstas.</w:t>
            </w:r>
          </w:p>
        </w:tc>
      </w:tr>
    </w:tbl>
    <w:p>
      <w:pPr>
        <w:spacing w:after="0"/>
      </w:pP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165"/>
        <w:gridCol w:w="7675"/>
      </w:tblGrid>
      <w:tr>
        <w:trPr>
          <w:tblHeader w:val="true"/>
          <w:cantSplit/>
        </w:trPr>
        <w:tc>
          <w:tcPr>
            <w:tcW w:type="dxa" w:w="216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Data ou período</w:t>
            </w:r>
          </w:p>
        </w:tc>
        <w:tc>
          <w:tcPr>
            <w:tcW w:type="dxa" w:w="767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Marco e qualificação</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Fato histórico. Alan Turing publica ‘Computing Machinery and Intelligence’ e substitui a pergunta abstrata ‘As máquinas podem pensar?’ pelo jogo da imitação, deslocando a atenção para o comportamento observável.</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John McCarthy, Marvin Minsky, Nathaniel Rochester e Claude Shannon preparam a proposta do encontro de verão de Dartmouth; a expressão inteligência artificial se torna a bandeira de um novo campo de pesquisa.</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Fim da década de 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Síntese histórica. O perceptron de Frank Rosenblatt incentiva a ideia de que uma máquina pode aprender com exemplos, enquanto hardware, dados e métodos permanecem limitados.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Joseph Weizenbaum apresenta ELIZA, um programa simples capaz de produzir, por meio de regras e palavras-chave, uma surpreendente impressão de escuta.</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Fato e síntese histórica. Marvin Minsky e Seymour Papert analisam as limitações dos perceptrons simples. Os invernos posteriores da IA também refletem a distância entre promessas, financiamento, computação e resultados.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História da infraestrutura. A ARPANET transmite sua primeira mensagem entre dois nós, concretizando uma rede de comutação de pacotes e abrindo caminho para arquiteturas de comunicação mais amplas.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1º de janeiro de 1983</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História da infraestrutura. A ARPANET conclui a transição para TCP/IP: diferentes redes podem se comunicar por meio de uma família comum de protocolos, um passo decisivo para a Internet como rede de redes.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David Rumelhart, Geoffrey Hinton e Ronald Williams demonstram, de modo influente, como a retropropagação pode treinar redes de múltiplas camadas.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História da infraestrutura. Tim Berners-Lee propõe a World Wide Web no CERN em 1989, desenvolve o primeiro navegador e servidor e, em 1991, o projeto começa a sair do laboratório, abrindo a rede à navegação por hipertexto.</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O Deep Blue derrota Garry Kasparov em um confronto de seis partidas, tornando visível para um público amplo o poder da computação em um domínio de regras fechadas.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Da década de 1990 ao início dos anos 2000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Síntese histórica. A Internet, a Web e os serviços móveis transformam a rede, de um ambiente especializado em infraestrutura cotidiana; arquivos, identidades, comunicações e serviços dependem cada vez mais de sistemas interconectados.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O AlexNet alcança um resultado nitidamente superior na competição ImageNet usando processadores gráficos e torna visível a aceleração do aprendizado profundo no reconhecimento de imagens.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Fato histórico. ‘Attention Is All You Need’ apresenta a arquitetura Transformer, que se tornará central para os modelos de linguagem de grande porte e muitos sistemas generativos.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30 de novembro de 2022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O ChatGPT é apresentado ao público como uma prévia de pesquisa e torna a IA conversacional acessível em escala cotidiana.</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Décadas de 2010 e 2020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Síntese histórica. Serviços de nuvem, centros de dados, APIs, plataformas e objetos conectados se combinam em uma infraestrutura cada vez mais invisível da qual dependem trabalho, saúde, governo, mobilidade e informação.</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1º de agosto de 2024</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2024/1689, conhecido como AI Act, entra em vigor. Suas disposições se aplicam progressivamente; a data não significa que todas as obrigações comecem a valer de uma só vez.</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fevereiro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Começam a se aplicar as disposições do AI Act sobre práticas proibidas e a obrigação original de letramento em IA. A alteração de julho de 2026 posteriormente reformula o artigo 4 como uma obrigação de apoiar o desenvolvimento do letramento em IA. [SRC-S34-001]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15 de maio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normas técnicas. O W3C publica Verifiable Credentials Data Model v2.0, Verifiable Credential Data Integrity 1.0 e Securing Verifiable Credentials Using JOSE and COSE como Recomendações. [SRC-W3C-VC20] [SRC-W3C-DI] [SRC-W3C-JOSE]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9 de julho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especificação técnica. OpenID for Verifiable Presentations 1.0 se torna uma especificação final para fluxos de apresentação de credenciais. [SRC-OID4VP]</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de julho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orientação voluntária. A versão final do General-Purpose AI Code of Practice é publicada para apoiar a conformidade com o AI Act. O código é um instrumento voluntário.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Julho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norma técnica. O NIST publica a versão final das Digital Identity Guidelines, Special Publication 800-63-4. [SRC-NIST-ID4]</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Começam a se aplicar as obrigações do artigo 53 do AI Act para fornecedores de modelos de IA de propósito geral, sujeitas ao âmbito de aplicação e às disposições transitórias. Modelos colocados no mercado antes dessa data têm um prazo posterior de conformidade. [SRC-S34-001]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16 de setembro de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especificação técnica. OpenID for Verifiable Credential Issuance 1.0 se torna uma especificação final para fluxos de emissão de credenciais. [SRC-OID4VCI]</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de junho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orientação voluntária. A versão final do Code of Practice on Transparency of AI-Generated Content é publicada. Fornece orientação sobre marcação e rotulagem, mas a adesão, por si só, não comprova conformidade com o artigo 50. [SRC-S34-020]</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8 de julho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2026/1744, o Digital Omnibus on AI, é adotado. A adoção é distinta da publicação e da entrada em vigor.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23 de julho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estrutura técnica. É publicada a versão 3.0.0 do European Digital Identity Wallet Architecture and Reference Framework. A estrutura técnica apoia a implementação e é distinta das obrigações jurídicas. [SRC-S34-009]</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24 de julho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2026/1744 é publicado no Jornal Oficial da União Europeia.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27 de julho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2026/1744 entra em vigor. As obrigações do AI Act permanecem sujeitas às respectivas datas de aplicação e disposições transitórias.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Está previsto o início da aplicação das obrigações de transparência do artigo 50(1), (2), (4) e (5), sujeito a exceções e transições. Também está previsto que os poderes de fiscalização da Comissão relativos aos modelos de IA de propósito geral se apliquem a partir dessa data. [SRC-S34-001] [SRC-S34-020]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dezembro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Os Estados-Membros devem transpor a Diretiva sobre o Trabalho em Plataformas. Essa é também a data prevista para o fim da transição do artigo 50(2) para fornecedores de sistemas abrangidos de conteúdo sintético colocados no mercado antes de 2 de agosto de 2026. [SRC-S34-012]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31 de dezembro de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Determinados prazos relativos ao status de Authorized IC Designer e às solicitações estão previstos para essa data segundo a regra do BIS publicada em 9 de abril de 2026 e vigente desde 7 de abril de 2026. A aplicabilidade depende da transação e do âmbito da regra. [SRC-BIS-IC-DESIGNER26]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Os fornecedores de modelos de IA de propósito geral colocados no mercado antes de 2 de agosto de 2025 devem cumprir as obrigações aplicáveis do AI Act. [SRC-S34-001] [SRC-S34-021]</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Por volta de 2050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Cenário narrativo. As vinhetas, organizadas por tema, abrangem vários anos. Intervalos de quatorze e dezoito meses pertencem ao percurso de Asha; reexames de seis meses dizem respeito a Marta e Lidia, e a Davide. Datas futuras, custos, tempos, quantidades, capacidades e arranjos geopolíticos são parâmetros do cenário, não previsões nem valores observados. Os cenários incluem projetos limitados, interrompidos e não adotados.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Propostas do livro</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Proposta do autor. O Teste 2050, a minimização da prova, o gêmeo operacional, a licença viva e a diretiva digital pós-morte são ferramentas para testar, corrigir ou abandonar: não são fatos consumados, direito uniforme nem previsões.</w:t>
            </w:r>
          </w:p>
        </w:tc>
      </w:tr>
    </w:tbl>
    <w:p>
      <w:pPr>
        <w:spacing w:after="0"/>
      </w:pPr>
    </w:p>
    <w:p>
      <w:pPr>
        <w:pStyle w:val="Heading1"/>
        <w:spacing w:line="460" w:lineRule="exact"/>
      </w:pPr>
      <w:r>
        <w:rPr>
          <w:rFonts w:ascii="EB Garamond" w:hAnsi="EB Garamond" w:eastAsia="EB Garamond" w:cs="EB Garamond"/>
          <w:sz w:val="40"/>
          <w:szCs w:val="40"/>
          <w:color w:val="183445"/>
        </w:rPr>
        <w:t xml:space="preserve">Como citar a cronologia</w:t>
      </w:r>
    </w:p>
    <w:p>
      <w:pPr>
        <w:keepLines w:val="0"/>
        <w:spacing w:line="270" w:lineRule="exact"/>
      </w:pPr>
      <w:r>
        <w:rPr>
          <w:rFonts w:ascii="EB Garamond" w:hAnsi="EB Garamond" w:eastAsia="EB Garamond" w:cs="EB Garamond"/>
          <w:color w:val="1F2D33"/>
          <w:sz w:val="21"/>
          <w:szCs w:val="21"/>
        </w:rPr>
        <w:t xml:space="preserve">As entradas históricas e regulatórias remetem à bibliografia pesquisável do Centro de recursos. Use os códigos SRC para localizar as fontes dos marcos acrescentados. As cenas em torno de 2050 permanecem parâmetros narrativos, não previsões. Teste as propostas do livro diante da evidência e do contexto; depois, decida se deve corrigi-las ou abandoná-las.</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Cronologia essencial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Cronologia essencial | PT-BR-R2.3 | Português brasileiro | English source V51.2</dc:title>
  <dc:subject>Cronologia essencial | PT-BR-R2.3 | Português brasileiro | English source V51.2</dc:subject>
  <dc:creator>Marco De Prosperis</dc:creator>
  <cp:keywords>2050, EN-US-R2.3, July 2026 documentary snapshot, revised English interior</cp:keywords>
  <dc:description>Cronologia essencial | PT-BR-R2.3 | Português brasileiro | English source V51.2</dc:description>
  <cp:lastModifiedBy>Corner Italiano LLC</cp:lastModifiedBy>
  <cp:revision>2</cp:revision>
  <dcterms:created xsi:type="dcterms:W3CDTF">2013-12-23T23:15:00Z</dcterms:created>
  <dcterms:modified xsi:type="dcterms:W3CDTF">2026-09-10T15:55:33Z</dcterms:modified>
  <cp:category/>
  <dc:language>pt-BR</dc:language>
</cp:coreProperties>
</file>