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pPr>
      <w:r>
        <w:rPr>
          <w:rFonts w:ascii="EB Garamond" w:hAnsi="EB Garamond" w:eastAsia="EB Garamond" w:cs="EB Garamond"/>
          <w:b/>
          <w:color w:val="183445"/>
          <w:sz w:val="56"/>
          <w:szCs w:val="56"/>
        </w:rPr>
        <w:t xml:space="preserve">Mapa temático</w:t>
      </w:r>
    </w:p>
    <w:p>
      <w:pPr>
        <w:pStyle w:val="Subtitle"/>
        <w:jc w:val="center"/>
        <w:spacing w:line="320" w:lineRule="exact"/>
      </w:pPr>
      <w:r>
        <w:rPr>
          <w:rFonts w:ascii="EB Garamond" w:hAnsi="EB Garamond" w:eastAsia="EB Garamond" w:cs="EB Garamond"/>
          <w:color w:val="5A686F"/>
          <w:sz w:val="26"/>
          <w:szCs w:val="26"/>
        </w:rPr>
        <w:t xml:space="preserve">Onde encontrar as perguntas centrais do livro</w:t>
      </w:r>
    </w:p>
    <w:p>
      <w:pPr>
        <w:spacing w:before="440" w:line="270" w:lineRule="exact"/>
        <w:jc w:val="center"/>
      </w:pPr>
      <w:r>
        <w:rPr>
          <w:rFonts w:ascii="EB Garamond" w:hAnsi="EB Garamond" w:eastAsia="EB Garamond" w:cs="EB Garamond"/>
          <w:b/>
          <w:color w:val="B04A35"/>
          <w:sz w:val="21"/>
          <w:szCs w:val="21"/>
        </w:rPr>
        <w:t xml:space="preserve">ÍNDICE TEMÁTICO DE LEITURA</w:t>
      </w:r>
    </w:p>
    <w:p>
      <w:pPr>
        <w:jc w:val="center"/>
        <w:spacing w:line="270" w:lineRule="exact"/>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ORIENTAÇÃO  O livro desenvolve essas perguntas em diferentes escalas. Use os números dos capítulos e os títulos das seções para encontrar cada tema quando a paginação mudar. Títulos conforme o miolo revisado em inglês (2026), traduzidos e acompanhados do original em inglês.</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Esperança adulta e limites da delegação</w:t>
      </w:r>
    </w:p>
    <w:p>
      <w:pPr>
        <w:spacing w:after="40" w:line="270" w:lineRule="exact"/>
        <w:keepNext/>
      </w:pPr>
      <w:r>
        <w:rPr>
          <w:rFonts w:ascii="EB Garamond" w:hAnsi="EB Garamond" w:eastAsia="EB Garamond" w:cs="EB Garamond"/>
          <w:i/>
          <w:color w:val="5A686F"/>
          <w:sz w:val="21"/>
          <w:szCs w:val="21"/>
        </w:rPr>
        <w:t xml:space="preserve">Onde aparece no livro: Introdução, ‘A distância até 2050’ (The Distance to 2050); Capítulo 16, ‘Antes do uso: ficha e Mandato’ (Before Use: Worksheet and Mandate); Epílogo, ‘O que não delegamos’ (What We Do Not Delegate).</w:t>
      </w:r>
    </w:p>
    <w:p>
      <w:pPr>
        <w:spacing w:after="100" w:line="270" w:lineRule="exact"/>
      </w:pPr>
      <w:r>
        <w:rPr>
          <w:rFonts w:ascii="EB Garamond" w:hAnsi="EB Garamond" w:eastAsia="EB Garamond" w:cs="EB Garamond"/>
          <w:color w:val="1F2D33"/>
          <w:sz w:val="21"/>
          <w:szCs w:val="21"/>
        </w:rPr>
        <w:t xml:space="preserve">Estude a tecnologia e use-a quando ela melhorar a vida. Preserve espaços em que as escolhas humanas possam estabelecer limites ao seu uso, incluindo a recusa, e corrigir seus efeitos.</w:t>
      </w:r>
    </w:p>
    <w:p>
      <w:pPr>
        <w:keepNext/>
        <w:spacing w:before="200" w:after="80" w:line="300" w:lineRule="exact"/>
      </w:pPr>
      <w:r>
        <w:rPr>
          <w:rFonts w:ascii="EB Garamond" w:hAnsi="EB Garamond" w:eastAsia="EB Garamond" w:cs="EB Garamond"/>
          <w:b/>
          <w:color w:val="183445"/>
          <w:sz w:val="23"/>
          <w:szCs w:val="23"/>
        </w:rPr>
        <w:t xml:space="preserve">Capacidade, confiabilidade e autoridade</w:t>
      </w:r>
    </w:p>
    <w:p>
      <w:pPr>
        <w:spacing w:after="40" w:line="270" w:lineRule="exact"/>
        <w:keepNext/>
      </w:pPr>
      <w:r>
        <w:rPr>
          <w:rFonts w:ascii="EB Garamond" w:hAnsi="EB Garamond" w:eastAsia="EB Garamond" w:cs="EB Garamond"/>
          <w:i/>
          <w:color w:val="5A686F"/>
          <w:sz w:val="21"/>
          <w:szCs w:val="21"/>
        </w:rPr>
        <w:t xml:space="preserve">Onde aparece no livro: Introdução, ‘A distância até 2050’ (The Distance to 2050); Interlúdio I, ‘Os três estados da resposta’ (The Three Answer States); Capítulo 1, ‘Como as máquinas aprendem com exemplos’ (How Machines Learn from Examples); Capítulo 4, ‘Onde recai a responsabilidade’ (Where Responsibility Falls); Capítulo 7, ‘O que o gêmeo não pode fazer’ (What the Twin Cannot Do), ‘Quatro modalidades de delegação’ (Four Modes of Delegation); Capítulo 8, ‘Cuidar sem desumanizar’ (Caring Without Dehumanizing), ‘Diagnóstico ampliado e o risco de confundir precisão com verdade’ (Augmented Diagnosis and the Risk of Mistaking Precision for Truth); Capítulo 12, ‘Direitos na era da previsão’ (Rights in the Age of Prediction); Capítulo 16, ‘Antes do uso: ficha e Mandato’ (Before Use: Worksheet and Mandate); Apêndice, Ferramentas para o leitor (Tools for the Reader), ‘Mapa dos três vocabulários’ (Map of the Three Vocabularies).</w:t>
      </w:r>
    </w:p>
    <w:p>
      <w:pPr>
        <w:spacing w:after="100" w:line="270" w:lineRule="exact"/>
      </w:pPr>
      <w:r>
        <w:rPr>
          <w:rFonts w:ascii="EB Garamond" w:hAnsi="EB Garamond" w:eastAsia="EB Garamond" w:cs="EB Garamond"/>
          <w:color w:val="1F2D33"/>
          <w:sz w:val="21"/>
          <w:szCs w:val="21"/>
        </w:rPr>
        <w:t xml:space="preserve">Ser capaz de fazer algo, realizá-lo com sucesso em condições reais e estar autorizado a agir são propriedades distintas.</w:t>
      </w:r>
    </w:p>
    <w:p>
      <w:pPr>
        <w:keepNext/>
        <w:spacing w:before="200" w:after="80" w:line="300" w:lineRule="exact"/>
      </w:pPr>
      <w:r>
        <w:rPr>
          <w:rFonts w:ascii="EB Garamond" w:hAnsi="EB Garamond" w:eastAsia="EB Garamond" w:cs="EB Garamond"/>
          <w:b/>
          <w:color w:val="183445"/>
          <w:sz w:val="23"/>
          <w:szCs w:val="23"/>
        </w:rPr>
        <w:t xml:space="preserve">O Teste 2050 e os três vocabulários</w:t>
      </w:r>
    </w:p>
    <w:p>
      <w:pPr>
        <w:spacing w:after="40" w:line="270" w:lineRule="exact"/>
        <w:keepNext/>
      </w:pPr>
      <w:r>
        <w:rPr>
          <w:rFonts w:ascii="EB Garamond" w:hAnsi="EB Garamond" w:eastAsia="EB Garamond" w:cs="EB Garamond"/>
          <w:i/>
          <w:color w:val="5A686F"/>
          <w:sz w:val="21"/>
          <w:szCs w:val="21"/>
        </w:rPr>
        <w:t xml:space="preserve">Onde aparece no livro: Interlúdio I, ‘Sete perguntas antes de delegar’ (Seven Questions Before Delegating), ‘Os três estados da resposta’ (The Three Answer States); Capítulo 7, ‘Quatro modalidades de delegação’ (Four Modes of Delegation); Interlúdio II, ‘O custo do controle’ (The Cost of Control); Capítulo 16, ‘Antes do uso: ficha e Mandato’ (Before Use: Worksheet and Mandate); Apêndice, Ferramentas para o leitor (Tools for the Reader), ‘As sete perguntas do Teste 2050’ (The Seven Questions of the 2050 Test), ‘Quando uma resposta é Suficiente e quando é Bloqueante’ (When an Answer Is Sufficient, and When It Blocks), ‘A regra de decisão’ (The Decision Rule), ‘A ficha mínima’ (The Minimum Worksheet).</w:t>
      </w:r>
    </w:p>
    <w:p>
      <w:pPr>
        <w:spacing w:after="100" w:line="270" w:lineRule="exact"/>
      </w:pPr>
      <w:r>
        <w:rPr>
          <w:rFonts w:ascii="EB Garamond" w:hAnsi="EB Garamond" w:eastAsia="EB Garamond" w:cs="EB Garamond"/>
          <w:color w:val="1F2D33"/>
          <w:sz w:val="21"/>
          <w:szCs w:val="21"/>
        </w:rPr>
        <w:t xml:space="preserve">As sete perguntas, o estado da resposta e a decisão organizacional permanecem separados e não produzem uma média compensatória.</w:t>
      </w:r>
    </w:p>
    <w:p>
      <w:pPr>
        <w:keepNext/>
        <w:spacing w:before="200" w:after="80" w:line="300" w:lineRule="exact"/>
      </w:pPr>
      <w:r>
        <w:rPr>
          <w:rFonts w:ascii="EB Garamond" w:hAnsi="EB Garamond" w:eastAsia="EB Garamond" w:cs="EB Garamond"/>
          <w:b/>
          <w:color w:val="183445"/>
          <w:sz w:val="23"/>
          <w:szCs w:val="23"/>
        </w:rPr>
        <w:t xml:space="preserve">Identidade, minimização da prova e portabilidade</w:t>
      </w:r>
    </w:p>
    <w:p>
      <w:pPr>
        <w:spacing w:after="40" w:line="270" w:lineRule="exact"/>
        <w:keepNext/>
      </w:pPr>
      <w:r>
        <w:rPr>
          <w:rFonts w:ascii="EB Garamond" w:hAnsi="EB Garamond" w:eastAsia="EB Garamond" w:cs="EB Garamond"/>
          <w:i/>
          <w:color w:val="5A686F"/>
          <w:sz w:val="21"/>
          <w:szCs w:val="21"/>
        </w:rPr>
        <w:t xml:space="preserve">Onde aparece no livro: Capítulo 2, ‘Provar o suficiente, não tudo’ (Proving Enough, Not Everything), ‘A credencial verificável’ (The Verifiable Credential), ‘Transferir e recuperar evidências’ (Moving and Recovering Evidence); Capítulo 3, ‘O dia em que o mundo para sem fazer barulho’ (The Day the World Stops Without a Sound); Capítulo 16, ‘Continuidade quando um sistema é encerrado’ (Continuity When a System Closes); Apêndice, Ferramentas para o leitor (Tools for the Reader), ‘As sete perguntas do Teste 2050’ (The Seven Questions of the 2050 Test).</w:t>
      </w:r>
    </w:p>
    <w:p>
      <w:pPr>
        <w:spacing w:after="100" w:line="270" w:lineRule="exact"/>
      </w:pPr>
      <w:r>
        <w:rPr>
          <w:rFonts w:ascii="EB Garamond" w:hAnsi="EB Garamond" w:eastAsia="EB Garamond" w:cs="EB Garamond"/>
          <w:color w:val="1F2D33"/>
          <w:sz w:val="21"/>
          <w:szCs w:val="21"/>
        </w:rPr>
        <w:t xml:space="preserve">Demonstre apenas o necessário sem entregar a pessoa nem transferir a ela todo o risco de recuperação e saída.</w:t>
      </w:r>
    </w:p>
    <w:p>
      <w:pPr>
        <w:keepNext/>
        <w:spacing w:before="200" w:after="80" w:line="300" w:lineRule="exact"/>
      </w:pPr>
      <w:r>
        <w:rPr>
          <w:rFonts w:ascii="EB Garamond" w:hAnsi="EB Garamond" w:eastAsia="EB Garamond" w:cs="EB Garamond"/>
          <w:b/>
          <w:color w:val="183445"/>
          <w:sz w:val="23"/>
          <w:szCs w:val="23"/>
        </w:rPr>
        <w:t xml:space="preserve">Infraestrutura, continuidade e teste de saída</w:t>
      </w:r>
    </w:p>
    <w:p>
      <w:pPr>
        <w:spacing w:after="40" w:line="270" w:lineRule="exact"/>
        <w:keepNext/>
      </w:pPr>
      <w:r>
        <w:rPr>
          <w:rFonts w:ascii="EB Garamond" w:hAnsi="EB Garamond" w:eastAsia="EB Garamond" w:cs="EB Garamond"/>
          <w:i/>
          <w:color w:val="5A686F"/>
          <w:sz w:val="21"/>
          <w:szCs w:val="21"/>
        </w:rPr>
        <w:t xml:space="preserve">Onde aparece no livro: Capítulo 3, ‘O dia em que o mundo para sem fazer barulho’ (The Day the World Stops Without a Sound); Capítulo 14, ‘A infraestrutura por trás do contrato’ (The Infrastructure Behind the Contract); Capítulo 16, ‘Continuidade quando um sistema é encerrado’ (Continuity When a System Closes); Apêndice, Ferramentas para o leitor (Tools for the Reader), ‘As sete perguntas do Teste 2050’ (The Seven Questions of the 2050 Test).</w:t>
      </w:r>
    </w:p>
    <w:p>
      <w:pPr>
        <w:spacing w:after="100" w:line="270" w:lineRule="exact"/>
      </w:pPr>
      <w:r>
        <w:rPr>
          <w:rFonts w:ascii="EB Garamond" w:hAnsi="EB Garamond" w:eastAsia="EB Garamond" w:cs="EB Garamond"/>
          <w:color w:val="1F2D33"/>
          <w:sz w:val="21"/>
          <w:szCs w:val="21"/>
        </w:rPr>
        <w:t xml:space="preserve">Serviços de nuvem, redes, APIs, contratos e competência residual se tornam governáveis quando a continuidade reduzida e a substituição são testadas.</w:t>
      </w:r>
    </w:p>
    <w:p>
      <w:pPr>
        <w:keepNext/>
        <w:spacing w:before="200" w:after="80" w:line="300" w:lineRule="exact"/>
      </w:pPr>
      <w:r>
        <w:rPr>
          <w:rFonts w:ascii="EB Garamond" w:hAnsi="EB Garamond" w:eastAsia="EB Garamond" w:cs="EB Garamond"/>
          <w:b/>
          <w:color w:val="183445"/>
          <w:sz w:val="23"/>
          <w:szCs w:val="23"/>
        </w:rPr>
        <w:t xml:space="preserve">Trabalho, competência e formação</w:t>
      </w:r>
    </w:p>
    <w:p>
      <w:pPr>
        <w:spacing w:after="40" w:line="270" w:lineRule="exact"/>
        <w:keepNext/>
      </w:pPr>
      <w:r>
        <w:rPr>
          <w:rFonts w:ascii="EB Garamond" w:hAnsi="EB Garamond" w:eastAsia="EB Garamond" w:cs="EB Garamond"/>
          <w:i/>
          <w:color w:val="5A686F"/>
          <w:sz w:val="21"/>
          <w:szCs w:val="21"/>
        </w:rPr>
        <w:t xml:space="preserve">Onde aparece no livro: Capítulo 4, ‘A grande mudança: das tarefas às responsabilidades’ (The Great Shift: From Tasks to Responsibilities); Capítulo 6, ‘Da transmissão do conhecimento ao cultivo do juízo’ (From Transferring Knowledge to Cultivating Judgment); Capítulo 7, ‘O que o gêmeo não pode fazer’ (What the Twin Cannot Do); Capítulo 10, ‘Uma pessoa esteve aqui’ (A Person Was Here); Capítulo 16, ‘Antes do uso: ficha e Mandato’ (Before Use: Worksheet and Mandate).</w:t>
      </w:r>
    </w:p>
    <w:p>
      <w:pPr>
        <w:spacing w:after="100" w:line="270" w:lineRule="exact"/>
      </w:pPr>
      <w:r>
        <w:rPr>
          <w:rFonts w:ascii="EB Garamond" w:hAnsi="EB Garamond" w:eastAsia="EB Garamond" w:cs="EB Garamond"/>
          <w:color w:val="1F2D33"/>
          <w:sz w:val="21"/>
          <w:szCs w:val="21"/>
        </w:rPr>
        <w:t xml:space="preserve">A automação comprime tarefas. A aprendizagem profissional mantém o juízo praticável quando os trabalhadores têm tempo para exercê-lo e autoridade sobre o resultado.</w:t>
      </w:r>
    </w:p>
    <w:p>
      <w:pPr>
        <w:keepNext/>
        <w:spacing w:before="200" w:after="80" w:line="300" w:lineRule="exact"/>
      </w:pPr>
      <w:r>
        <w:rPr>
          <w:rFonts w:ascii="EB Garamond" w:hAnsi="EB Garamond" w:eastAsia="EB Garamond" w:cs="EB Garamond"/>
          <w:b/>
          <w:color w:val="183445"/>
          <w:sz w:val="23"/>
          <w:szCs w:val="23"/>
        </w:rPr>
        <w:t xml:space="preserve">Mandato, Recurso e supervisão efetiva</w:t>
      </w:r>
    </w:p>
    <w:p>
      <w:pPr>
        <w:spacing w:after="40" w:line="270" w:lineRule="exact"/>
        <w:keepNext/>
      </w:pPr>
      <w:r>
        <w:rPr>
          <w:rFonts w:ascii="EB Garamond" w:hAnsi="EB Garamond" w:eastAsia="EB Garamond" w:cs="EB Garamond"/>
          <w:i/>
          <w:color w:val="5A686F"/>
          <w:sz w:val="21"/>
          <w:szCs w:val="21"/>
        </w:rPr>
        <w:t xml:space="preserve">Onde aparece no livro: Capítulo 4, ‘Onde recai a responsabilidade’ (Where Responsibility Falls); Capítulo 5, ‘O mandato do olhar público’ (The Mandate of the Public Gaze); Capítulo 7, ‘Onde o Mandato deve parar’ (Where the Mandate Must Stop); Capítulo 8, ‘Diagnóstico ampliado e o risco de confundir precisão com verdade’ (Augmented Diagnosis and the Risk of Mistaking Precision for Truth); Capítulo 12, ‘Direitos na era da previsão’ (Rights in the Age of Prediction); Capítulo 16, ‘Quando algo sai do rumo: incidente e Recurso’ (When Something Goes Off Course: Incident and Redress); Interlúdio I, ‘Sete perguntas antes de delegar’ (Seven Questions Before Delegating); Interlúdio II, ‘O custo do controle’ (The Cost of Control).</w:t>
      </w:r>
    </w:p>
    <w:p>
      <w:pPr>
        <w:spacing w:after="100" w:line="270" w:lineRule="exact"/>
      </w:pPr>
      <w:r>
        <w:rPr>
          <w:rFonts w:ascii="EB Garamond" w:hAnsi="EB Garamond" w:eastAsia="EB Garamond" w:cs="EB Garamond"/>
          <w:color w:val="1F2D33"/>
          <w:sz w:val="21"/>
          <w:szCs w:val="21"/>
        </w:rPr>
        <w:t xml:space="preserve">Uma pessoa importa no processo quando dispõe de evidência, tempo e poder para suspender, corrigir e obter um resultado fundamentado.</w:t>
      </w:r>
    </w:p>
    <w:p>
      <w:pPr>
        <w:keepNext/>
        <w:spacing w:before="200" w:after="80" w:line="300" w:lineRule="exact"/>
      </w:pPr>
      <w:r>
        <w:rPr>
          <w:rFonts w:ascii="EB Garamond" w:hAnsi="EB Garamond" w:eastAsia="EB Garamond" w:cs="EB Garamond"/>
          <w:b/>
          <w:color w:val="183445"/>
          <w:sz w:val="23"/>
          <w:szCs w:val="23"/>
        </w:rPr>
        <w:t xml:space="preserve">Cuidado, incerteza e dignidade</w:t>
      </w:r>
    </w:p>
    <w:p>
      <w:pPr>
        <w:spacing w:after="40" w:line="270" w:lineRule="exact"/>
        <w:keepNext/>
      </w:pPr>
      <w:r>
        <w:rPr>
          <w:rFonts w:ascii="EB Garamond" w:hAnsi="EB Garamond" w:eastAsia="EB Garamond" w:cs="EB Garamond"/>
          <w:i/>
          <w:color w:val="5A686F"/>
          <w:sz w:val="21"/>
          <w:szCs w:val="21"/>
        </w:rPr>
        <w:t xml:space="preserve">Onde aparece no livro: Capítulo 8, ‘Cuidar sem desumanizar’ (Caring Without Dehumanizing), ‘Cuidado no fim da vida’ (Care at the End of Life); Capítulo 11, ‘O amigo que nunca dorme’ (The Friend Who Never Sleeps); Capítulo 15, ‘Os mortos que nunca partem’ (The Dead Who Never Leave).</w:t>
      </w:r>
    </w:p>
    <w:p>
      <w:pPr>
        <w:spacing w:after="100" w:line="270" w:lineRule="exact"/>
      </w:pPr>
      <w:r>
        <w:rPr>
          <w:rFonts w:ascii="EB Garamond" w:hAnsi="EB Garamond" w:eastAsia="EB Garamond" w:cs="EB Garamond"/>
          <w:color w:val="1F2D33"/>
          <w:sz w:val="21"/>
          <w:szCs w:val="21"/>
        </w:rPr>
        <w:t xml:space="preserve">Erro técnico, incerteza clínica, conflito de valores, presença e despedida exigem respostas diferentes.</w:t>
      </w:r>
    </w:p>
    <w:p>
      <w:pPr>
        <w:keepNext/>
        <w:spacing w:before="200" w:after="80" w:line="300" w:lineRule="exact"/>
      </w:pPr>
      <w:r>
        <w:rPr>
          <w:rFonts w:ascii="EB Garamond" w:hAnsi="EB Garamond" w:eastAsia="EB Garamond" w:cs="EB Garamond"/>
          <w:b/>
          <w:color w:val="183445"/>
          <w:sz w:val="23"/>
          <w:szCs w:val="23"/>
        </w:rPr>
        <w:t xml:space="preserve">Verdade pública, procedência e fadiga epistêmica</w:t>
      </w:r>
    </w:p>
    <w:p>
      <w:pPr>
        <w:spacing w:after="40" w:line="270" w:lineRule="exact"/>
        <w:keepNext/>
      </w:pPr>
      <w:r>
        <w:rPr>
          <w:rFonts w:ascii="EB Garamond" w:hAnsi="EB Garamond" w:eastAsia="EB Garamond" w:cs="EB Garamond"/>
          <w:i/>
          <w:color w:val="5A686F"/>
          <w:sz w:val="21"/>
          <w:szCs w:val="21"/>
        </w:rPr>
        <w:t xml:space="preserve">Onde aparece no livro: Capítulo 9, ‘Reconstruir a confiança pública’ (Rebuilding Public Trust); Capítulo 10, ‘Fontes criativas e seu uso’ (Creative Sources and Their Use); Apêndice, Ferramentas para o leitor (Tools for the Reader), ‘Glossário essencial’ (Essential Glossary).</w:t>
      </w:r>
    </w:p>
    <w:p>
      <w:pPr>
        <w:spacing w:after="100" w:line="270" w:lineRule="exact"/>
      </w:pPr>
      <w:r>
        <w:rPr>
          <w:rFonts w:ascii="EB Garamond" w:hAnsi="EB Garamond" w:eastAsia="EB Garamond" w:cs="EB Garamond"/>
          <w:color w:val="1F2D33"/>
          <w:sz w:val="21"/>
          <w:szCs w:val="21"/>
        </w:rPr>
        <w:t xml:space="preserve">Reconstruir a origem e as transformações ajuda na verificação, mas a confiança pública também depende do custo humano e institucional de contestar uma afirmação.</w:t>
      </w:r>
    </w:p>
    <w:p>
      <w:pPr>
        <w:keepNext/>
        <w:spacing w:before="200" w:after="80" w:line="300" w:lineRule="exact"/>
      </w:pPr>
      <w:r>
        <w:rPr>
          <w:rFonts w:ascii="EB Garamond" w:hAnsi="EB Garamond" w:eastAsia="EB Garamond" w:cs="EB Garamond"/>
          <w:b/>
          <w:color w:val="183445"/>
          <w:sz w:val="23"/>
          <w:szCs w:val="23"/>
        </w:rPr>
        <w:t xml:space="preserve">Autoria, assinatura e nova escassez</w:t>
      </w:r>
    </w:p>
    <w:p>
      <w:pPr>
        <w:spacing w:after="40" w:line="270" w:lineRule="exact"/>
        <w:keepNext/>
      </w:pPr>
      <w:r>
        <w:rPr>
          <w:rFonts w:ascii="EB Garamond" w:hAnsi="EB Garamond" w:eastAsia="EB Garamond" w:cs="EB Garamond"/>
          <w:i/>
          <w:color w:val="5A686F"/>
          <w:sz w:val="21"/>
          <w:szCs w:val="21"/>
        </w:rPr>
        <w:t xml:space="preserve">Onde aparece no livro: Capítulo 10, ‘Da geração a uma obra’ (From Generation to a Work), ‘Uma pessoa esteve aqui’ (A Person Was Here); Capítulo 9, ‘Reconstruir a confiança pública’ (Rebuilding Public Trust).</w:t>
      </w:r>
    </w:p>
    <w:p>
      <w:pPr>
        <w:spacing w:after="100" w:line="270" w:lineRule="exact"/>
      </w:pPr>
      <w:r>
        <w:rPr>
          <w:rFonts w:ascii="EB Garamond" w:hAnsi="EB Garamond" w:eastAsia="EB Garamond" w:cs="EB Garamond"/>
          <w:color w:val="1F2D33"/>
          <w:sz w:val="21"/>
          <w:szCs w:val="21"/>
        </w:rPr>
        <w:t xml:space="preserve">Procedência, declaração das ferramentas e assinatura distribuem história, transparência e responsabilidade sem atribuir automaticamente valor a uma obra.</w:t>
      </w:r>
    </w:p>
    <w:p>
      <w:pPr>
        <w:keepNext/>
        <w:spacing w:before="200" w:after="80" w:line="300" w:lineRule="exact"/>
      </w:pPr>
      <w:r>
        <w:rPr>
          <w:rFonts w:ascii="EB Garamond" w:hAnsi="EB Garamond" w:eastAsia="EB Garamond" w:cs="EB Garamond"/>
          <w:b/>
          <w:color w:val="183445"/>
          <w:sz w:val="23"/>
          <w:szCs w:val="23"/>
        </w:rPr>
        <w:t xml:space="preserve">Apego, menores e assimetria relacional</w:t>
      </w:r>
    </w:p>
    <w:p>
      <w:pPr>
        <w:spacing w:after="40" w:line="270" w:lineRule="exact"/>
        <w:keepNext/>
      </w:pPr>
      <w:r>
        <w:rPr>
          <w:rFonts w:ascii="EB Garamond" w:hAnsi="EB Garamond" w:eastAsia="EB Garamond" w:cs="EB Garamond"/>
          <w:i/>
          <w:color w:val="5A686F"/>
          <w:sz w:val="21"/>
          <w:szCs w:val="21"/>
        </w:rPr>
        <w:t xml:space="preserve">Onde aparece no livro: Capítulo 11, ‘O amigo que nunca dorme’ (The Friend Who Never Sleeps), ‘A assimetria’ (The Asymmetry), ‘O modelo de negócio do afeto’ (The Business Model of Affection); Capítulo 15, ‘Os mortos que nunca partem’ (The Dead Who Never Leave); Capítulo 16, ‘Decidir não adotar’ (Deciding Against Adoption).</w:t>
      </w:r>
    </w:p>
    <w:p>
      <w:pPr>
        <w:spacing w:after="100" w:line="270" w:lineRule="exact"/>
      </w:pPr>
      <w:r>
        <w:rPr>
          <w:rFonts w:ascii="EB Garamond" w:hAnsi="EB Garamond" w:eastAsia="EB Garamond" w:cs="EB Garamond"/>
          <w:color w:val="1F2D33"/>
          <w:sz w:val="21"/>
          <w:szCs w:val="21"/>
        </w:rPr>
        <w:t xml:space="preserve">O consolo pode se tornar ponte ou jaula conforme a memória, os incentivos, a liberdade de interromper e a abertura a outras relações.</w:t>
      </w:r>
    </w:p>
    <w:p>
      <w:pPr>
        <w:keepNext/>
        <w:spacing w:before="200" w:after="80" w:line="300" w:lineRule="exact"/>
      </w:pPr>
      <w:r>
        <w:rPr>
          <w:rFonts w:ascii="EB Garamond" w:hAnsi="EB Garamond" w:eastAsia="EB Garamond" w:cs="EB Garamond"/>
          <w:b/>
          <w:color w:val="183445"/>
          <w:sz w:val="23"/>
          <w:szCs w:val="23"/>
        </w:rPr>
        <w:t xml:space="preserve">Privacidade, perfilamento e intervalos não mensurados</w:t>
      </w:r>
    </w:p>
    <w:p>
      <w:pPr>
        <w:spacing w:after="40" w:line="270" w:lineRule="exact"/>
        <w:keepNext/>
      </w:pPr>
      <w:r>
        <w:rPr>
          <w:rFonts w:ascii="EB Garamond" w:hAnsi="EB Garamond" w:eastAsia="EB Garamond" w:cs="EB Garamond"/>
          <w:i/>
          <w:color w:val="5A686F"/>
          <w:sz w:val="21"/>
          <w:szCs w:val="21"/>
        </w:rPr>
        <w:t xml:space="preserve">Onde aparece no livro: Capítulo 5, ‘O mandato do olhar público’ (The Mandate of the Public Gaze); Capítulo 12, ‘Quando o viés entra no sistema’ (When Bias Enters the System), ‘Direitos na era da previsão’ (Rights in the Age of Prediction); Capítulo 11, ‘O modelo de negócio do afeto’ (The Business Model of Affection).</w:t>
      </w:r>
    </w:p>
    <w:p>
      <w:pPr>
        <w:spacing w:after="100" w:line="270" w:lineRule="exact"/>
      </w:pPr>
      <w:r>
        <w:rPr>
          <w:rFonts w:ascii="EB Garamond" w:hAnsi="EB Garamond" w:eastAsia="EB Garamond" w:cs="EB Garamond"/>
          <w:color w:val="1F2D33"/>
          <w:sz w:val="21"/>
          <w:szCs w:val="21"/>
        </w:rPr>
        <w:t xml:space="preserve">Proteger não autoriza automaticamente a comandar, e uma pessoa deve poder mudar sem produzir imediatamente um perfil operacional.</w:t>
      </w:r>
    </w:p>
    <w:p>
      <w:pPr>
        <w:keepNext/>
        <w:spacing w:before="200" w:after="80" w:line="300" w:lineRule="exact"/>
      </w:pPr>
      <w:r>
        <w:rPr>
          <w:rFonts w:ascii="EB Garamond" w:hAnsi="EB Garamond" w:eastAsia="EB Garamond" w:cs="EB Garamond"/>
          <w:b/>
          <w:color w:val="183445"/>
          <w:sz w:val="23"/>
          <w:szCs w:val="23"/>
        </w:rPr>
        <w:t xml:space="preserve">Custo do controle, dano residual e capacidade organizacional</w:t>
      </w:r>
    </w:p>
    <w:p>
      <w:pPr>
        <w:spacing w:after="40" w:line="270" w:lineRule="exact"/>
        <w:keepNext/>
      </w:pPr>
      <w:r>
        <w:rPr>
          <w:rFonts w:ascii="EB Garamond" w:hAnsi="EB Garamond" w:eastAsia="EB Garamond" w:cs="EB Garamond"/>
          <w:i/>
          <w:color w:val="5A686F"/>
          <w:sz w:val="21"/>
          <w:szCs w:val="21"/>
        </w:rPr>
        <w:t xml:space="preserve">Onde aparece no livro: Capítulo 7, ‘O protocolo de teste’ (The Testing Protocol); Capítulo 8, ‘Diagnóstico ampliado e o risco de confundir precisão com verdade’ (Augmented Diagnosis and the Risk of Mistaking Precision for Truth); Capítulo 14, ‘A manutenção decide quem conserva a voz’ (Maintenance Determines Who Keeps a Voice); Interlúdio II, ‘O custo do controle’ (The Cost of Control), ‘O dano que permanece’ (The Harm That Remains); Apêndice, Ferramentas para o leitor (Tools for the Reader), ‘As sete perguntas do Teste 2050’ (The Seven Questions of the 2050 Test).</w:t>
      </w:r>
    </w:p>
    <w:p>
      <w:pPr>
        <w:spacing w:after="100" w:line="270" w:lineRule="exact"/>
      </w:pPr>
      <w:r>
        <w:rPr>
          <w:rFonts w:ascii="EB Garamond" w:hAnsi="EB Garamond" w:eastAsia="EB Garamond" w:cs="EB Garamond"/>
          <w:color w:val="1F2D33"/>
          <w:sz w:val="21"/>
          <w:szCs w:val="21"/>
        </w:rPr>
        <w:t xml:space="preserve">A verificação exige tempo e competência sem prometer risco zero. Deve deixar um registro que apoie a reconstrução e a reparação, com uma forma de restringir o sistema.</w:t>
      </w:r>
    </w:p>
    <w:p>
      <w:pPr>
        <w:keepNext/>
        <w:spacing w:before="200" w:after="80" w:line="300" w:lineRule="exact"/>
      </w:pPr>
      <w:r>
        <w:rPr>
          <w:rFonts w:ascii="EB Garamond" w:hAnsi="EB Garamond" w:eastAsia="EB Garamond" w:cs="EB Garamond"/>
          <w:b/>
          <w:color w:val="183445"/>
          <w:sz w:val="23"/>
          <w:szCs w:val="23"/>
        </w:rPr>
        <w:t xml:space="preserve">Sustentabilidade material e justiça</w:t>
      </w:r>
    </w:p>
    <w:p>
      <w:pPr>
        <w:spacing w:after="40" w:line="270" w:lineRule="exact"/>
        <w:keepNext/>
      </w:pPr>
      <w:r>
        <w:rPr>
          <w:rFonts w:ascii="EB Garamond" w:hAnsi="EB Garamond" w:eastAsia="EB Garamond" w:cs="EB Garamond"/>
          <w:i/>
          <w:color w:val="5A686F"/>
          <w:sz w:val="21"/>
          <w:szCs w:val="21"/>
        </w:rPr>
        <w:t xml:space="preserve">Onde aparece no livro: Capítulo 3, ‘O dia em que o mundo para sem fazer barulho’ (The Day the World Stops Without a Sound); Capítulo 13, ‘A cadeia de suprimentos oculta: minas, fábricas, logística e resíduos’ (The Hidden Supply Chain: Mines, Factories, Logistics, and Waste), ‘Água e terra ao redor do centro de dados’ (Water and Land Around the Data Center), ‘Uma nova ideia de progresso’ (A New Idea of Progress); Capítulo 14, ‘Cooperação além das fronteiras’ (Cooperation Across Borders).</w:t>
      </w:r>
    </w:p>
    <w:p>
      <w:pPr>
        <w:spacing w:after="100" w:line="270" w:lineRule="exact"/>
      </w:pPr>
      <w:r>
        <w:rPr>
          <w:rFonts w:ascii="EB Garamond" w:hAnsi="EB Garamond" w:eastAsia="EB Garamond" w:cs="EB Garamond"/>
          <w:color w:val="1F2D33"/>
          <w:sz w:val="21"/>
          <w:szCs w:val="21"/>
        </w:rPr>
        <w:t xml:space="preserve">Energia, água, minerais, equipamentos, trabalho e resíduos formam uma cadeia de decisões, não um custo abstrato.</w:t>
      </w:r>
    </w:p>
    <w:p>
      <w:pPr>
        <w:keepNext/>
        <w:spacing w:before="200" w:after="80" w:line="300" w:lineRule="exact"/>
      </w:pPr>
      <w:r>
        <w:rPr>
          <w:rFonts w:ascii="EB Garamond" w:hAnsi="EB Garamond" w:eastAsia="EB Garamond" w:cs="EB Garamond"/>
          <w:b/>
          <w:color w:val="183445"/>
          <w:sz w:val="23"/>
          <w:szCs w:val="23"/>
        </w:rPr>
        <w:t xml:space="preserve">Dependência estratégica, manutenção e voz infraestrutural</w:t>
      </w:r>
    </w:p>
    <w:p>
      <w:pPr>
        <w:spacing w:after="40" w:line="270" w:lineRule="exact"/>
        <w:keepNext/>
      </w:pPr>
      <w:r>
        <w:rPr>
          <w:rFonts w:ascii="EB Garamond" w:hAnsi="EB Garamond" w:eastAsia="EB Garamond" w:cs="EB Garamond"/>
          <w:i/>
          <w:color w:val="5A686F"/>
          <w:sz w:val="21"/>
          <w:szCs w:val="21"/>
        </w:rPr>
        <w:t xml:space="preserve">Onde aparece no livro: Capítulo 3, ‘O dia em que o mundo para sem fazer barulho’ (The Day the World Stops Without a Sound); Capítulo 14, ‘A manutenção decide quem conserva a voz’ (Maintenance Determines Who Keeps a Voice), ‘A infraestrutura por trás do contrato’ (The Infrastructure Behind the Contract).</w:t>
      </w:r>
    </w:p>
    <w:p>
      <w:pPr>
        <w:spacing w:after="100" w:line="270" w:lineRule="exact"/>
      </w:pPr>
      <w:r>
        <w:rPr>
          <w:rFonts w:ascii="EB Garamond" w:hAnsi="EB Garamond" w:eastAsia="EB Garamond" w:cs="EB Garamond"/>
          <w:color w:val="1F2D33"/>
          <w:sz w:val="21"/>
          <w:szCs w:val="21"/>
        </w:rPr>
        <w:t xml:space="preserve">A autonomia relativa cresce a partir de alternativas, competência local, normas e poderes concretos para suspender, corrigir e exportar.</w:t>
      </w:r>
    </w:p>
    <w:p>
      <w:pPr>
        <w:keepNext/>
        <w:spacing w:before="200" w:after="80" w:line="300" w:lineRule="exact"/>
      </w:pPr>
      <w:r>
        <w:rPr>
          <w:rFonts w:ascii="EB Garamond" w:hAnsi="EB Garamond" w:eastAsia="EB Garamond" w:cs="EB Garamond"/>
          <w:b/>
          <w:color w:val="183445"/>
          <w:sz w:val="23"/>
          <w:szCs w:val="23"/>
        </w:rPr>
        <w:t xml:space="preserve">Desigualdade e acesso</w:t>
      </w:r>
    </w:p>
    <w:p>
      <w:pPr>
        <w:spacing w:after="40" w:line="270" w:lineRule="exact"/>
        <w:keepNext/>
      </w:pPr>
      <w:r>
        <w:rPr>
          <w:rFonts w:ascii="EB Garamond" w:hAnsi="EB Garamond" w:eastAsia="EB Garamond" w:cs="EB Garamond"/>
          <w:i/>
          <w:color w:val="5A686F"/>
          <w:sz w:val="21"/>
          <w:szCs w:val="21"/>
        </w:rPr>
        <w:t xml:space="preserve">Onde aparece no livro: Interlúdio I, ‘4. Distribuição — Quem se beneficia, quem paga e quem pode contestar?’ (4. Distribution—Who Benefits, Who Pays, and Who Can Object?); Capítulo 4, ‘Onde recai a responsabilidade’ (Where Responsibility Falls); Capítulo 5, ‘A cidade como pacto cívico’ (The City as a Civic Compact); Capítulo 6, ‘Juízo além da ferramenta’ (Judgment Beyond the Tool); Capítulo 8, ‘Cuidar sem desumanizar’ (Caring Without Dehumanizing); Capítulo 12, ‘Direitos na era da previsão’ (Rights in the Age of Prediction); Capítulo 13, ‘Uma nova ideia de progresso’ (A New Idea of Progress); Capítulo 14, ‘Autonomia na interdependência’ (Autonomy Within Interdependence).</w:t>
      </w:r>
    </w:p>
    <w:p>
      <w:pPr>
        <w:spacing w:after="100" w:line="270" w:lineRule="exact"/>
      </w:pPr>
      <w:r>
        <w:rPr>
          <w:rFonts w:ascii="EB Garamond" w:hAnsi="EB Garamond" w:eastAsia="EB Garamond" w:cs="EB Garamond"/>
          <w:color w:val="1F2D33"/>
          <w:sz w:val="21"/>
          <w:szCs w:val="21"/>
        </w:rPr>
        <w:t xml:space="preserve">Benefícios, esperas, proteções e custos mudam com renda, território, capacidade administrativa e acesso a uma reparação.</w:t>
      </w:r>
    </w:p>
    <w:p>
      <w:pPr>
        <w:keepNext/>
        <w:spacing w:before="200" w:after="80" w:line="300" w:lineRule="exact"/>
      </w:pPr>
      <w:r>
        <w:rPr>
          <w:rFonts w:ascii="EB Garamond" w:hAnsi="EB Garamond" w:eastAsia="EB Garamond" w:cs="EB Garamond"/>
          <w:b/>
          <w:color w:val="183445"/>
          <w:sz w:val="23"/>
          <w:szCs w:val="23"/>
        </w:rPr>
        <w:t xml:space="preserve">Memória, arquivo, simulação e esquecimento</w:t>
      </w:r>
    </w:p>
    <w:p>
      <w:pPr>
        <w:spacing w:after="40" w:line="270" w:lineRule="exact"/>
        <w:keepNext/>
      </w:pPr>
      <w:r>
        <w:rPr>
          <w:rFonts w:ascii="EB Garamond" w:hAnsi="EB Garamond" w:eastAsia="EB Garamond" w:cs="EB Garamond"/>
          <w:i/>
          <w:color w:val="5A686F"/>
          <w:sz w:val="21"/>
          <w:szCs w:val="21"/>
        </w:rPr>
        <w:t xml:space="preserve">Onde aparece no livro: Capítulo 15, ‘Os mortos que nunca partem’ (The Dead Who Never Leave), ‘Conversar com quem já partiu’ (Talking to Those Who Are Gone), ‘O direito de desaparecer’ (The Right to Disappear), ‘A memória não é um arquivo’ (Memory Is Not an Archive); Capítulo 11, ‘O amigo que nunca dorme’ (The Friend Who Never Sleeps); Capítulo 12, ‘Direitos na era da previsão’ (Rights in the Age of Prediction); Epílogo, ‘O que não delegamos’ (What We Do Not Delegate).</w:t>
      </w:r>
    </w:p>
    <w:p>
      <w:pPr>
        <w:spacing w:after="100" w:line="270" w:lineRule="exact"/>
      </w:pPr>
      <w:r>
        <w:rPr>
          <w:rFonts w:ascii="EB Garamond" w:hAnsi="EB Garamond" w:eastAsia="EB Garamond" w:cs="EB Garamond"/>
          <w:color w:val="1F2D33"/>
          <w:sz w:val="21"/>
          <w:szCs w:val="21"/>
        </w:rPr>
        <w:t xml:space="preserve">Preservar vestígios, organizar um memorial e gerar novas palavras são atos diferentes, com Mandatos e direitos distintos.</w:t>
      </w:r>
    </w:p>
    <w:p>
      <w:pPr>
        <w:keepNext/>
        <w:spacing w:before="200" w:after="80" w:line="300" w:lineRule="exact"/>
      </w:pPr>
      <w:r>
        <w:rPr>
          <w:rFonts w:ascii="EB Garamond" w:hAnsi="EB Garamond" w:eastAsia="EB Garamond" w:cs="EB Garamond"/>
          <w:b/>
          <w:color w:val="183445"/>
          <w:sz w:val="23"/>
          <w:szCs w:val="23"/>
        </w:rPr>
        <w:t xml:space="preserve">Ciclo de vida, monitoramento e saída</w:t>
      </w:r>
    </w:p>
    <w:p>
      <w:pPr>
        <w:spacing w:after="40" w:line="270" w:lineRule="exact"/>
        <w:keepNext/>
      </w:pPr>
      <w:r>
        <w:rPr>
          <w:rFonts w:ascii="EB Garamond" w:hAnsi="EB Garamond" w:eastAsia="EB Garamond" w:cs="EB Garamond"/>
          <w:i/>
          <w:color w:val="5A686F"/>
          <w:sz w:val="21"/>
          <w:szCs w:val="21"/>
        </w:rPr>
        <w:t xml:space="preserve">Onde aparece no livro: Capítulo 7, ‘O protocolo de teste’ (The Testing Protocol); Capítulo 16, ‘Antes do uso: ficha e Mandato’ (Before Use: Worksheet and Mandate), ‘Durante o uso: registro e supervisão’ (During Use: Log and Oversight), ‘Quando algo sai do rumo: incidente e Recurso’ (When Something Goes Off Course: Incident and Redress), ‘Continuidade quando um sistema é encerrado’ (Continuity When a System Closes); Apêndice, Ferramentas para o leitor (Tools for the Reader), ‘As sete perguntas do Teste 2050’ (The Seven Questions of the 2050 Test), ‘A ficha mínima’ (The Minimum Worksheet), ‘Exemplo condensado: Davide, 15 de outubro de 2050, e acompanhamento’ (Condensed Example: Davide, October 15, 2050, and Follow-up).</w:t>
      </w:r>
    </w:p>
    <w:p>
      <w:pPr>
        <w:spacing w:after="100" w:line="270" w:lineRule="exact"/>
      </w:pPr>
      <w:r>
        <w:rPr>
          <w:rFonts w:ascii="EB Garamond" w:hAnsi="EB Garamond" w:eastAsia="EB Garamond" w:cs="EB Garamond"/>
          <w:color w:val="1F2D33"/>
          <w:sz w:val="21"/>
          <w:szCs w:val="21"/>
        </w:rPr>
        <w:t xml:space="preserve">Ficha, registro, incidente, Recurso, teste de saída e reexame mantêm o Mandato observável enquanto mudam modelo, dados, escala ou responsáveis.</w:t>
      </w:r>
    </w:p>
    <w:p>
      <w:pPr>
        <w:keepNext/>
        <w:spacing w:before="200" w:after="80" w:line="300" w:lineRule="exact"/>
      </w:pPr>
      <w:r>
        <w:rPr>
          <w:rFonts w:ascii="EB Garamond" w:hAnsi="EB Garamond" w:eastAsia="EB Garamond" w:cs="EB Garamond"/>
          <w:b/>
          <w:color w:val="183445"/>
          <w:sz w:val="23"/>
          <w:szCs w:val="23"/>
        </w:rPr>
        <w:t xml:space="preserve">Não delegar, custo do não e reabertura</w:t>
      </w:r>
    </w:p>
    <w:p>
      <w:pPr>
        <w:spacing w:after="40" w:line="270" w:lineRule="exact"/>
        <w:keepNext/>
      </w:pPr>
      <w:r>
        <w:rPr>
          <w:rFonts w:ascii="EB Garamond" w:hAnsi="EB Garamond" w:eastAsia="EB Garamond" w:cs="EB Garamond"/>
          <w:i/>
          <w:color w:val="5A686F"/>
          <w:sz w:val="21"/>
          <w:szCs w:val="21"/>
        </w:rPr>
        <w:t xml:space="preserve">Onde aparece no livro: Capítulo 16, ‘Decidir não adotar’ (Deciding Against Adoption), ‘Os custos da recusa e da reconsideração’ (The Costs of Refusal and Reconsideration); Epílogo, ‘O que não delegamos’ (What We Do Not Delegate); Apêndice, Ferramentas para o leitor (Tools for the Reader), ‘Exemplo condensado: Davide, 15 de outubro de 2050, e acompanhamento’ (Condensed Example: Davide, October 15, 2050, and Follow-up).</w:t>
      </w:r>
    </w:p>
    <w:p>
      <w:pPr>
        <w:spacing w:after="100" w:line="270" w:lineRule="exact"/>
      </w:pPr>
      <w:r>
        <w:rPr>
          <w:rFonts w:ascii="EB Garamond" w:hAnsi="EB Garamond" w:eastAsia="EB Garamond" w:cs="EB Garamond"/>
          <w:color w:val="1F2D33"/>
          <w:sz w:val="21"/>
          <w:szCs w:val="21"/>
        </w:rPr>
        <w:t xml:space="preserve">A recusa registra proteções e custos, preservando uma alternativa. Um novo teste pode reabrir a decisão sem apagar o primeiro juízo.</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Mapa temático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 temático | PT-BR-R2.3 | Português brasileiro | English source V51.2</dc:title>
  <dc:subject>Mapa temático | PT-BR-R2.3 | Português brasileiro | English source V51.2</dc:subject>
  <dc:creator>Marco De Prosperis</dc:creator>
  <cp:keywords>2050, EN-US-R2.3, July 2026 documentary snapshot, revised English interior</cp:keywords>
  <dc:description>Mapa temático | PT-BR-R2.3 | Português brasileiro | English source V51.2</dc:description>
  <cp:lastModifiedBy>Corner Italiano LLC</cp:lastModifiedBy>
  <cp:revision>2</cp:revision>
  <dcterms:created xsi:type="dcterms:W3CDTF">2013-12-23T23:15:00Z</dcterms:created>
  <dcterms:modified xsi:type="dcterms:W3CDTF">2026-09-10T15:55:33Z</dcterms:modified>
  <cp:category/>
  <dc:language>pt-BR</dc:language>
</cp:coreProperties>
</file>